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DDD"/>
  <w:body>
    <w:p w:rsidR="00D12AB0" w:rsidRDefault="008F0889" w:rsidP="00D12AB0">
      <w:pPr>
        <w:pStyle w:val="Title"/>
        <w:jc w:val="left"/>
      </w:pPr>
      <w:r>
        <w:rPr>
          <w:noProof/>
        </w:rPr>
        <w:drawing>
          <wp:inline distT="0" distB="0" distL="0" distR="0">
            <wp:extent cx="2247900" cy="466725"/>
            <wp:effectExtent l="19050" t="0" r="0" b="0"/>
            <wp:docPr id="1" name="Picture 1" descr="DMP_GWA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P_GWA_mono"/>
                    <pic:cNvPicPr>
                      <a:picLocks noChangeAspect="1" noChangeArrowheads="1"/>
                    </pic:cNvPicPr>
                  </pic:nvPicPr>
                  <pic:blipFill>
                    <a:blip r:embed="rId7" cstate="print"/>
                    <a:srcRect/>
                    <a:stretch>
                      <a:fillRect/>
                    </a:stretch>
                  </pic:blipFill>
                  <pic:spPr bwMode="auto">
                    <a:xfrm>
                      <a:off x="0" y="0"/>
                      <a:ext cx="2247900" cy="466725"/>
                    </a:xfrm>
                    <a:prstGeom prst="rect">
                      <a:avLst/>
                    </a:prstGeom>
                    <a:noFill/>
                    <a:ln w="9525">
                      <a:noFill/>
                      <a:miter lim="800000"/>
                      <a:headEnd/>
                      <a:tailEnd/>
                    </a:ln>
                  </pic:spPr>
                </pic:pic>
              </a:graphicData>
            </a:graphic>
          </wp:inline>
        </w:drawing>
      </w:r>
      <w:r w:rsidR="00D12AB0">
        <w:tab/>
      </w:r>
      <w:r w:rsidR="00D12AB0">
        <w:tab/>
      </w:r>
      <w:r w:rsidR="00D12AB0">
        <w:tab/>
        <w:t xml:space="preserve">Clearing Permit Decision Report </w:t>
      </w:r>
    </w:p>
    <w:p w:rsidR="00D12AB0" w:rsidRDefault="00BE4F33">
      <w:r>
        <w:rPr>
          <w:noProof/>
        </w:rPr>
        <w:pict>
          <v:line id="_x0000_s1027" style="position:absolute;z-index:251657728" from="22.55pt,2.95pt" to="512.6pt,3.7pt" o:allowincell="f" strokeweight="1.5pt">
            <w10:wrap type="topAndBottom"/>
          </v:line>
        </w:pict>
      </w:r>
    </w:p>
    <w:p w:rsidR="00D12AB0" w:rsidRDefault="00D12AB0">
      <w:pPr>
        <w:pStyle w:val="Heading1"/>
      </w:pPr>
      <w:r>
        <w:t>Application details</w:t>
      </w:r>
      <w:r>
        <w:tab/>
      </w:r>
      <w:r>
        <w:tab/>
      </w:r>
    </w:p>
    <w:p w:rsidR="00D12AB0" w:rsidRDefault="00D12AB0">
      <w:pPr>
        <w:pStyle w:val="Heading2"/>
      </w:pPr>
      <w:r>
        <w:t>Permit application details</w:t>
      </w:r>
    </w:p>
    <w:tbl>
      <w:tblPr>
        <w:tblW w:w="0" w:type="auto"/>
        <w:tblLayout w:type="fixed"/>
        <w:tblLook w:val="0000"/>
      </w:tblPr>
      <w:tblGrid>
        <w:gridCol w:w="2660"/>
        <w:gridCol w:w="7654"/>
      </w:tblGrid>
      <w:tr w:rsidR="00D12AB0">
        <w:tc>
          <w:tcPr>
            <w:tcW w:w="2660" w:type="dxa"/>
          </w:tcPr>
          <w:p w:rsidR="00D12AB0" w:rsidRDefault="00D12AB0">
            <w:pPr>
              <w:pStyle w:val="table"/>
              <w:tabs>
                <w:tab w:val="clear" w:pos="426"/>
                <w:tab w:val="left" w:pos="2552"/>
              </w:tabs>
              <w:rPr>
                <w:b/>
                <w:sz w:val="16"/>
              </w:rPr>
            </w:pPr>
            <w:r>
              <w:rPr>
                <w:b/>
                <w:sz w:val="16"/>
              </w:rPr>
              <w:t>Permit application No.:</w:t>
            </w:r>
          </w:p>
        </w:tc>
        <w:tc>
          <w:tcPr>
            <w:tcW w:w="7654" w:type="dxa"/>
            <w:shd w:val="pct10" w:color="auto" w:fill="FFFFFF"/>
          </w:tcPr>
          <w:p w:rsidR="00D12AB0" w:rsidRDefault="008F0889">
            <w:pPr>
              <w:pStyle w:val="table"/>
              <w:tabs>
                <w:tab w:val="clear" w:pos="426"/>
                <w:tab w:val="left" w:pos="2552"/>
              </w:tabs>
            </w:pPr>
            <w:r>
              <w:t>2234</w:t>
            </w:r>
            <w:r w:rsidR="00D12AB0">
              <w:t>/</w:t>
            </w:r>
            <w:r>
              <w:t>2</w:t>
            </w:r>
          </w:p>
        </w:tc>
      </w:tr>
      <w:tr w:rsidR="00D12AB0">
        <w:tc>
          <w:tcPr>
            <w:tcW w:w="2660" w:type="dxa"/>
          </w:tcPr>
          <w:p w:rsidR="00D12AB0" w:rsidRDefault="00D12AB0">
            <w:pPr>
              <w:pStyle w:val="table"/>
              <w:tabs>
                <w:tab w:val="clear" w:pos="426"/>
                <w:tab w:val="left" w:pos="2552"/>
              </w:tabs>
              <w:rPr>
                <w:b/>
                <w:sz w:val="16"/>
              </w:rPr>
            </w:pPr>
            <w:r>
              <w:rPr>
                <w:b/>
                <w:sz w:val="16"/>
              </w:rPr>
              <w:t>Permit type:</w:t>
            </w:r>
          </w:p>
        </w:tc>
        <w:tc>
          <w:tcPr>
            <w:tcW w:w="7654" w:type="dxa"/>
            <w:shd w:val="pct10" w:color="auto" w:fill="FFFFFF"/>
          </w:tcPr>
          <w:p w:rsidR="00D12AB0" w:rsidRDefault="008F0889">
            <w:pPr>
              <w:pStyle w:val="table"/>
              <w:tabs>
                <w:tab w:val="clear" w:pos="426"/>
                <w:tab w:val="left" w:pos="2552"/>
              </w:tabs>
            </w:pPr>
            <w:r>
              <w:t>Purpose Permit</w:t>
            </w:r>
          </w:p>
        </w:tc>
      </w:tr>
    </w:tbl>
    <w:p w:rsidR="00D12AB0" w:rsidRDefault="00D12AB0">
      <w:pPr>
        <w:pStyle w:val="Heading2"/>
      </w:pPr>
      <w:r>
        <w:t>Proponent details</w:t>
      </w:r>
    </w:p>
    <w:tbl>
      <w:tblPr>
        <w:tblW w:w="0" w:type="auto"/>
        <w:tblLayout w:type="fixed"/>
        <w:tblLook w:val="0000"/>
      </w:tblPr>
      <w:tblGrid>
        <w:gridCol w:w="2660"/>
        <w:gridCol w:w="7654"/>
      </w:tblGrid>
      <w:tr w:rsidR="00D12AB0">
        <w:tc>
          <w:tcPr>
            <w:tcW w:w="2660" w:type="dxa"/>
          </w:tcPr>
          <w:p w:rsidR="00D12AB0" w:rsidRDefault="00D12AB0">
            <w:pPr>
              <w:pStyle w:val="table"/>
              <w:tabs>
                <w:tab w:val="clear" w:pos="426"/>
                <w:tab w:val="left" w:pos="2552"/>
              </w:tabs>
              <w:rPr>
                <w:b/>
                <w:sz w:val="16"/>
              </w:rPr>
            </w:pPr>
            <w:r>
              <w:rPr>
                <w:b/>
                <w:sz w:val="16"/>
              </w:rPr>
              <w:t>Proponent’s name:</w:t>
            </w:r>
          </w:p>
        </w:tc>
        <w:tc>
          <w:tcPr>
            <w:tcW w:w="7654" w:type="dxa"/>
            <w:shd w:val="pct10" w:color="auto" w:fill="FFFFFF"/>
          </w:tcPr>
          <w:p w:rsidR="00D12AB0" w:rsidRDefault="008F0889">
            <w:pPr>
              <w:pStyle w:val="table"/>
              <w:tabs>
                <w:tab w:val="clear" w:pos="426"/>
                <w:tab w:val="left" w:pos="2552"/>
              </w:tabs>
              <w:rPr>
                <w:b/>
              </w:rPr>
            </w:pPr>
            <w:r>
              <w:rPr>
                <w:b/>
              </w:rPr>
              <w:t>Hamersley Iron Pty Ltd</w:t>
            </w:r>
          </w:p>
        </w:tc>
      </w:tr>
    </w:tbl>
    <w:p w:rsidR="00D12AB0" w:rsidRDefault="00D12AB0">
      <w:pPr>
        <w:pStyle w:val="Heading2"/>
      </w:pPr>
      <w:r>
        <w:t>Property details</w:t>
      </w:r>
    </w:p>
    <w:tbl>
      <w:tblPr>
        <w:tblW w:w="0" w:type="auto"/>
        <w:tblLayout w:type="fixed"/>
        <w:tblLook w:val="0000"/>
      </w:tblPr>
      <w:tblGrid>
        <w:gridCol w:w="2660"/>
        <w:gridCol w:w="7654"/>
      </w:tblGrid>
      <w:tr w:rsidR="00D12AB0">
        <w:tc>
          <w:tcPr>
            <w:tcW w:w="2660" w:type="dxa"/>
          </w:tcPr>
          <w:p w:rsidR="00D12AB0" w:rsidRDefault="00D12AB0">
            <w:pPr>
              <w:pStyle w:val="table"/>
              <w:tabs>
                <w:tab w:val="clear" w:pos="426"/>
                <w:tab w:val="left" w:pos="2552"/>
              </w:tabs>
              <w:rPr>
                <w:b/>
                <w:sz w:val="16"/>
              </w:rPr>
            </w:pPr>
            <w:r>
              <w:rPr>
                <w:b/>
                <w:sz w:val="16"/>
              </w:rPr>
              <w:t>Property:</w:t>
            </w:r>
          </w:p>
        </w:tc>
        <w:tc>
          <w:tcPr>
            <w:tcW w:w="7654" w:type="dxa"/>
            <w:shd w:val="pct10" w:color="auto" w:fill="FFFFFF"/>
          </w:tcPr>
          <w:p w:rsidR="00D12AB0" w:rsidRPr="00F31E52" w:rsidRDefault="00F5793E">
            <w:pPr>
              <w:pStyle w:val="table"/>
              <w:tabs>
                <w:tab w:val="clear" w:pos="426"/>
                <w:tab w:val="left" w:pos="2552"/>
              </w:tabs>
              <w:rPr>
                <w:i/>
              </w:rPr>
            </w:pPr>
            <w:r w:rsidRPr="00F31E52">
              <w:rPr>
                <w:i/>
              </w:rPr>
              <w:t>Iron Ore (Hamersley Range) Agreement Act 1963</w:t>
            </w:r>
          </w:p>
          <w:p w:rsidR="00F5793E" w:rsidRDefault="00F5793E">
            <w:pPr>
              <w:pStyle w:val="table"/>
              <w:tabs>
                <w:tab w:val="clear" w:pos="426"/>
                <w:tab w:val="left" w:pos="2552"/>
              </w:tabs>
            </w:pPr>
            <w:r>
              <w:t>Mineral Lease 246SA (AML 70/246)</w:t>
            </w:r>
          </w:p>
        </w:tc>
      </w:tr>
      <w:tr w:rsidR="00D12AB0">
        <w:tc>
          <w:tcPr>
            <w:tcW w:w="2660" w:type="dxa"/>
          </w:tcPr>
          <w:p w:rsidR="00D12AB0" w:rsidRDefault="00D12AB0">
            <w:pPr>
              <w:pStyle w:val="table"/>
              <w:tabs>
                <w:tab w:val="clear" w:pos="426"/>
                <w:tab w:val="left" w:pos="2552"/>
              </w:tabs>
              <w:spacing w:before="40"/>
              <w:rPr>
                <w:b/>
                <w:sz w:val="16"/>
              </w:rPr>
            </w:pPr>
            <w:r>
              <w:rPr>
                <w:b/>
                <w:sz w:val="16"/>
              </w:rPr>
              <w:t>Local Government Area:</w:t>
            </w:r>
          </w:p>
        </w:tc>
        <w:tc>
          <w:tcPr>
            <w:tcW w:w="7654" w:type="dxa"/>
            <w:shd w:val="pct10" w:color="auto" w:fill="FFFFFF"/>
          </w:tcPr>
          <w:p w:rsidR="00D12AB0" w:rsidRDefault="00F5793E">
            <w:pPr>
              <w:pStyle w:val="table"/>
              <w:tabs>
                <w:tab w:val="clear" w:pos="426"/>
                <w:tab w:val="left" w:pos="2552"/>
              </w:tabs>
              <w:spacing w:before="40"/>
            </w:pPr>
            <w:r>
              <w:t>Shire of Ashburton</w:t>
            </w:r>
          </w:p>
        </w:tc>
      </w:tr>
      <w:tr w:rsidR="00D12AB0">
        <w:tc>
          <w:tcPr>
            <w:tcW w:w="2660" w:type="dxa"/>
          </w:tcPr>
          <w:p w:rsidR="00D12AB0" w:rsidRDefault="00D12AB0">
            <w:pPr>
              <w:pStyle w:val="table"/>
              <w:tabs>
                <w:tab w:val="clear" w:pos="426"/>
                <w:tab w:val="left" w:pos="2552"/>
              </w:tabs>
              <w:spacing w:before="40"/>
              <w:rPr>
                <w:b/>
                <w:sz w:val="16"/>
              </w:rPr>
            </w:pPr>
            <w:r>
              <w:rPr>
                <w:b/>
                <w:sz w:val="16"/>
              </w:rPr>
              <w:t>Colloquial name:</w:t>
            </w:r>
          </w:p>
        </w:tc>
        <w:tc>
          <w:tcPr>
            <w:tcW w:w="7654" w:type="dxa"/>
            <w:shd w:val="pct10" w:color="auto" w:fill="FFFFFF"/>
          </w:tcPr>
          <w:p w:rsidR="00D12AB0" w:rsidRDefault="00F5793E">
            <w:pPr>
              <w:pStyle w:val="table"/>
              <w:tabs>
                <w:tab w:val="clear" w:pos="426"/>
                <w:tab w:val="left" w:pos="2552"/>
              </w:tabs>
              <w:spacing w:before="40"/>
            </w:pPr>
            <w:r>
              <w:t>11 West Waste Dump Rehabilitation</w:t>
            </w:r>
          </w:p>
        </w:tc>
      </w:tr>
    </w:tbl>
    <w:p w:rsidR="00D12AB0" w:rsidRDefault="00D12AB0">
      <w:pPr>
        <w:pStyle w:val="Heading2"/>
      </w:pPr>
      <w:r>
        <w:t>Application</w:t>
      </w:r>
    </w:p>
    <w:tbl>
      <w:tblPr>
        <w:tblW w:w="0" w:type="auto"/>
        <w:tblLayout w:type="fixed"/>
        <w:tblLook w:val="0000"/>
      </w:tblPr>
      <w:tblGrid>
        <w:gridCol w:w="2148"/>
        <w:gridCol w:w="1292"/>
        <w:gridCol w:w="2214"/>
        <w:gridCol w:w="4660"/>
      </w:tblGrid>
      <w:tr w:rsidR="00D12AB0">
        <w:tc>
          <w:tcPr>
            <w:tcW w:w="2148" w:type="dxa"/>
          </w:tcPr>
          <w:p w:rsidR="00D12AB0" w:rsidRDefault="00D12AB0">
            <w:pPr>
              <w:pStyle w:val="table"/>
              <w:spacing w:before="60"/>
              <w:rPr>
                <w:b/>
                <w:sz w:val="16"/>
              </w:rPr>
            </w:pPr>
            <w:r>
              <w:rPr>
                <w:b/>
                <w:sz w:val="16"/>
              </w:rPr>
              <w:t>Clearing Area (ha)</w:t>
            </w:r>
          </w:p>
        </w:tc>
        <w:tc>
          <w:tcPr>
            <w:tcW w:w="1292" w:type="dxa"/>
          </w:tcPr>
          <w:p w:rsidR="00D12AB0" w:rsidRDefault="00D12AB0">
            <w:pPr>
              <w:pStyle w:val="table"/>
              <w:spacing w:before="60"/>
              <w:rPr>
                <w:b/>
                <w:sz w:val="16"/>
              </w:rPr>
            </w:pPr>
            <w:r>
              <w:rPr>
                <w:b/>
                <w:sz w:val="16"/>
              </w:rPr>
              <w:t>No. Trees</w:t>
            </w:r>
          </w:p>
        </w:tc>
        <w:tc>
          <w:tcPr>
            <w:tcW w:w="2214" w:type="dxa"/>
          </w:tcPr>
          <w:p w:rsidR="00D12AB0" w:rsidRDefault="00D12AB0">
            <w:pPr>
              <w:pStyle w:val="table"/>
              <w:spacing w:before="60"/>
              <w:rPr>
                <w:b/>
                <w:sz w:val="16"/>
              </w:rPr>
            </w:pPr>
            <w:r>
              <w:rPr>
                <w:b/>
                <w:sz w:val="16"/>
              </w:rPr>
              <w:t>Method of Clearing</w:t>
            </w:r>
          </w:p>
        </w:tc>
        <w:tc>
          <w:tcPr>
            <w:tcW w:w="4660" w:type="dxa"/>
          </w:tcPr>
          <w:p w:rsidR="00D12AB0" w:rsidRDefault="00D12AB0">
            <w:pPr>
              <w:pStyle w:val="table"/>
              <w:spacing w:before="60"/>
              <w:rPr>
                <w:b/>
                <w:sz w:val="16"/>
              </w:rPr>
            </w:pPr>
            <w:r>
              <w:rPr>
                <w:b/>
                <w:sz w:val="16"/>
              </w:rPr>
              <w:t>For the purpose of:</w:t>
            </w:r>
          </w:p>
        </w:tc>
      </w:tr>
      <w:tr w:rsidR="00D12AB0">
        <w:tc>
          <w:tcPr>
            <w:tcW w:w="2148" w:type="dxa"/>
          </w:tcPr>
          <w:p w:rsidR="00D12AB0" w:rsidRDefault="008F0889">
            <w:pPr>
              <w:pStyle w:val="table"/>
            </w:pPr>
            <w:r>
              <w:t>8.2</w:t>
            </w:r>
          </w:p>
        </w:tc>
        <w:tc>
          <w:tcPr>
            <w:tcW w:w="1292" w:type="dxa"/>
          </w:tcPr>
          <w:p w:rsidR="00D12AB0" w:rsidRDefault="00D12AB0">
            <w:pPr>
              <w:pStyle w:val="table"/>
            </w:pPr>
          </w:p>
        </w:tc>
        <w:tc>
          <w:tcPr>
            <w:tcW w:w="2214" w:type="dxa"/>
          </w:tcPr>
          <w:p w:rsidR="00D12AB0" w:rsidRDefault="008F0889">
            <w:pPr>
              <w:pStyle w:val="table"/>
            </w:pPr>
            <w:r>
              <w:t>Mechanical Removal</w:t>
            </w:r>
          </w:p>
        </w:tc>
        <w:tc>
          <w:tcPr>
            <w:tcW w:w="4660" w:type="dxa"/>
          </w:tcPr>
          <w:p w:rsidR="00D12AB0" w:rsidRDefault="008F0889">
            <w:pPr>
              <w:pStyle w:val="table"/>
            </w:pPr>
            <w:r>
              <w:t>Mineral Production</w:t>
            </w:r>
          </w:p>
        </w:tc>
      </w:tr>
    </w:tbl>
    <w:p w:rsidR="00D12AB0" w:rsidRDefault="00D12AB0">
      <w:pPr>
        <w:pStyle w:val="Heading1"/>
      </w:pPr>
      <w:r>
        <w:t>Site Information</w:t>
      </w:r>
    </w:p>
    <w:p w:rsidR="00D12AB0" w:rsidRDefault="00D12AB0">
      <w:pPr>
        <w:pStyle w:val="Heading2"/>
      </w:pPr>
      <w:r>
        <w:t>Existing environment and information</w:t>
      </w:r>
    </w:p>
    <w:p w:rsidR="00D12AB0" w:rsidRDefault="00D12AB0">
      <w:pPr>
        <w:pStyle w:val="Heading3"/>
      </w:pPr>
      <w:r>
        <w:t>Description of the native vegetation under application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0"/>
        <w:gridCol w:w="2219"/>
        <w:gridCol w:w="1775"/>
        <w:gridCol w:w="2662"/>
      </w:tblGrid>
      <w:tr w:rsidR="00D12AB0" w:rsidTr="00F5793E">
        <w:tc>
          <w:tcPr>
            <w:tcW w:w="2268" w:type="dxa"/>
            <w:tcBorders>
              <w:top w:val="nil"/>
              <w:left w:val="nil"/>
              <w:bottom w:val="nil"/>
              <w:right w:val="nil"/>
            </w:tcBorders>
          </w:tcPr>
          <w:p w:rsidR="00D12AB0" w:rsidRDefault="00D12AB0">
            <w:pPr>
              <w:pStyle w:val="table"/>
              <w:spacing w:before="60"/>
              <w:rPr>
                <w:b/>
                <w:sz w:val="16"/>
              </w:rPr>
            </w:pPr>
            <w:r>
              <w:rPr>
                <w:b/>
                <w:sz w:val="16"/>
              </w:rPr>
              <w:t>Vegetation Description</w:t>
            </w:r>
          </w:p>
        </w:tc>
        <w:tc>
          <w:tcPr>
            <w:tcW w:w="1418" w:type="dxa"/>
            <w:tcBorders>
              <w:top w:val="nil"/>
              <w:left w:val="nil"/>
              <w:bottom w:val="nil"/>
              <w:right w:val="nil"/>
            </w:tcBorders>
          </w:tcPr>
          <w:p w:rsidR="00D12AB0" w:rsidRDefault="00D12AB0">
            <w:pPr>
              <w:pStyle w:val="table"/>
              <w:spacing w:before="60"/>
              <w:rPr>
                <w:b/>
                <w:sz w:val="16"/>
              </w:rPr>
            </w:pPr>
            <w:r>
              <w:rPr>
                <w:b/>
                <w:sz w:val="16"/>
              </w:rPr>
              <w:t>Clearing Description</w:t>
            </w:r>
          </w:p>
        </w:tc>
        <w:tc>
          <w:tcPr>
            <w:tcW w:w="1134" w:type="dxa"/>
            <w:tcBorders>
              <w:top w:val="nil"/>
              <w:left w:val="nil"/>
              <w:bottom w:val="nil"/>
              <w:right w:val="nil"/>
            </w:tcBorders>
          </w:tcPr>
          <w:p w:rsidR="00D12AB0" w:rsidRDefault="00D12AB0">
            <w:pPr>
              <w:pStyle w:val="table"/>
              <w:spacing w:before="60"/>
              <w:rPr>
                <w:b/>
                <w:sz w:val="16"/>
              </w:rPr>
            </w:pPr>
            <w:r>
              <w:rPr>
                <w:b/>
                <w:sz w:val="16"/>
              </w:rPr>
              <w:t>Vegetation Condition</w:t>
            </w:r>
          </w:p>
        </w:tc>
        <w:tc>
          <w:tcPr>
            <w:tcW w:w="1701" w:type="dxa"/>
            <w:tcBorders>
              <w:top w:val="nil"/>
              <w:left w:val="nil"/>
              <w:bottom w:val="nil"/>
              <w:right w:val="nil"/>
            </w:tcBorders>
          </w:tcPr>
          <w:p w:rsidR="00D12AB0" w:rsidRDefault="00D12AB0">
            <w:pPr>
              <w:pStyle w:val="table"/>
              <w:spacing w:before="60"/>
              <w:rPr>
                <w:b/>
                <w:sz w:val="16"/>
              </w:rPr>
            </w:pPr>
            <w:r>
              <w:rPr>
                <w:b/>
                <w:sz w:val="16"/>
              </w:rPr>
              <w:t>Comment</w:t>
            </w:r>
          </w:p>
        </w:tc>
      </w:tr>
      <w:tr w:rsidR="00D12AB0" w:rsidTr="00F5793E">
        <w:tc>
          <w:tcPr>
            <w:tcW w:w="2268" w:type="dxa"/>
            <w:tcBorders>
              <w:top w:val="nil"/>
              <w:left w:val="nil"/>
              <w:bottom w:val="nil"/>
              <w:right w:val="nil"/>
            </w:tcBorders>
          </w:tcPr>
          <w:p w:rsidR="00A92DC5" w:rsidRDefault="00A92DC5" w:rsidP="00A92DC5">
            <w:pPr>
              <w:rPr>
                <w:rFonts w:ascii="Arial" w:hAnsi="Arial"/>
                <w:sz w:val="16"/>
                <w:lang w:eastAsia="en-US"/>
              </w:rPr>
            </w:pPr>
            <w:r>
              <w:rPr>
                <w:rFonts w:ascii="Arial" w:hAnsi="Arial"/>
                <w:sz w:val="16"/>
              </w:rPr>
              <w:t xml:space="preserve">Vegetation within the application area has been mapped at a 1:250,000 scale as the following Beard vegetation associations. </w:t>
            </w:r>
          </w:p>
          <w:p w:rsidR="00A92DC5" w:rsidRDefault="00A92DC5" w:rsidP="00A92DC5">
            <w:pPr>
              <w:rPr>
                <w:rFonts w:ascii="Arial" w:hAnsi="Arial"/>
                <w:sz w:val="16"/>
              </w:rPr>
            </w:pPr>
          </w:p>
          <w:p w:rsidR="00A92DC5" w:rsidRDefault="00A92DC5" w:rsidP="00A92DC5">
            <w:pPr>
              <w:rPr>
                <w:rFonts w:ascii="Arial" w:hAnsi="Arial"/>
                <w:sz w:val="16"/>
              </w:rPr>
            </w:pPr>
            <w:r>
              <w:rPr>
                <w:rFonts w:ascii="Arial" w:hAnsi="Arial"/>
                <w:sz w:val="16"/>
              </w:rPr>
              <w:t xml:space="preserve">- 82:  Hummock grasslands, shrub steppe; </w:t>
            </w:r>
            <w:r>
              <w:rPr>
                <w:rFonts w:ascii="Arial" w:hAnsi="Arial"/>
                <w:i/>
                <w:sz w:val="16"/>
              </w:rPr>
              <w:t xml:space="preserve">Grevillea </w:t>
            </w:r>
            <w:proofErr w:type="spellStart"/>
            <w:r>
              <w:rPr>
                <w:rFonts w:ascii="Arial" w:hAnsi="Arial"/>
                <w:i/>
                <w:sz w:val="16"/>
              </w:rPr>
              <w:t>refracta</w:t>
            </w:r>
            <w:proofErr w:type="spellEnd"/>
            <w:r>
              <w:rPr>
                <w:rFonts w:ascii="Arial" w:hAnsi="Arial"/>
                <w:sz w:val="16"/>
              </w:rPr>
              <w:t xml:space="preserve"> &amp; hakea over soft </w:t>
            </w:r>
            <w:proofErr w:type="spellStart"/>
            <w:r>
              <w:rPr>
                <w:rFonts w:ascii="Arial" w:hAnsi="Arial"/>
                <w:sz w:val="16"/>
              </w:rPr>
              <w:t>spinifex</w:t>
            </w:r>
            <w:proofErr w:type="spellEnd"/>
            <w:r>
              <w:rPr>
                <w:rFonts w:ascii="Arial" w:hAnsi="Arial"/>
                <w:sz w:val="16"/>
              </w:rPr>
              <w:t>.</w:t>
            </w:r>
          </w:p>
          <w:p w:rsidR="00A92DC5" w:rsidRDefault="00A92DC5" w:rsidP="00A92DC5">
            <w:pPr>
              <w:rPr>
                <w:rFonts w:ascii="Arial" w:hAnsi="Arial"/>
                <w:sz w:val="16"/>
              </w:rPr>
            </w:pPr>
            <w:r>
              <w:rPr>
                <w:rFonts w:ascii="Arial" w:hAnsi="Arial"/>
                <w:sz w:val="16"/>
              </w:rPr>
              <w:t xml:space="preserve">- 181:  </w:t>
            </w:r>
            <w:proofErr w:type="spellStart"/>
            <w:r>
              <w:rPr>
                <w:rFonts w:ascii="Arial" w:hAnsi="Arial"/>
                <w:sz w:val="16"/>
              </w:rPr>
              <w:t>Shrublands</w:t>
            </w:r>
            <w:proofErr w:type="spellEnd"/>
            <w:r>
              <w:rPr>
                <w:rFonts w:ascii="Arial" w:hAnsi="Arial"/>
                <w:sz w:val="16"/>
              </w:rPr>
              <w:t xml:space="preserve">; mulga &amp; </w:t>
            </w:r>
            <w:proofErr w:type="spellStart"/>
            <w:r>
              <w:rPr>
                <w:rFonts w:ascii="Arial" w:hAnsi="Arial"/>
                <w:sz w:val="16"/>
              </w:rPr>
              <w:t>snakewood</w:t>
            </w:r>
            <w:proofErr w:type="spellEnd"/>
            <w:r>
              <w:rPr>
                <w:rFonts w:ascii="Arial" w:hAnsi="Arial"/>
                <w:sz w:val="16"/>
              </w:rPr>
              <w:t xml:space="preserve"> scrub.  </w:t>
            </w:r>
          </w:p>
          <w:p w:rsidR="00A92DC5" w:rsidRDefault="00A92DC5" w:rsidP="00A92DC5">
            <w:pPr>
              <w:rPr>
                <w:rFonts w:ascii="Arial" w:hAnsi="Arial"/>
                <w:sz w:val="16"/>
              </w:rPr>
            </w:pPr>
          </w:p>
          <w:p w:rsidR="00A92DC5" w:rsidRDefault="00A92DC5" w:rsidP="00A92DC5">
            <w:pPr>
              <w:rPr>
                <w:rFonts w:ascii="Arial" w:hAnsi="Arial"/>
                <w:sz w:val="16"/>
              </w:rPr>
            </w:pPr>
            <w:r>
              <w:rPr>
                <w:rFonts w:ascii="Arial" w:hAnsi="Arial"/>
                <w:sz w:val="16"/>
              </w:rPr>
              <w:t xml:space="preserve">The vegetation within the application area was surveyed by botanists from Pilbara Iron on 28 November 2003.  Although the flora and vegetation survey searched for the presence of Declared Rare Flora and Priority Flora species, the vegetation communities were not identified or described for the application area. </w:t>
            </w:r>
          </w:p>
          <w:p w:rsidR="00A92DC5" w:rsidRDefault="00A92DC5" w:rsidP="00A92DC5">
            <w:pPr>
              <w:rPr>
                <w:rFonts w:ascii="Arial" w:hAnsi="Arial"/>
                <w:sz w:val="16"/>
              </w:rPr>
            </w:pPr>
          </w:p>
          <w:p w:rsidR="00A92DC5" w:rsidRDefault="00A92DC5" w:rsidP="00A92DC5">
            <w:pPr>
              <w:rPr>
                <w:rFonts w:ascii="Arial" w:hAnsi="Arial"/>
                <w:sz w:val="16"/>
              </w:rPr>
            </w:pPr>
            <w:r>
              <w:rPr>
                <w:rFonts w:ascii="Arial" w:hAnsi="Arial"/>
                <w:sz w:val="16"/>
              </w:rPr>
              <w:t xml:space="preserve">The </w:t>
            </w:r>
            <w:r w:rsidR="00E05F1A">
              <w:rPr>
                <w:rFonts w:ascii="Arial" w:hAnsi="Arial"/>
                <w:sz w:val="16"/>
              </w:rPr>
              <w:t>a</w:t>
            </w:r>
            <w:r>
              <w:rPr>
                <w:rFonts w:ascii="Arial" w:hAnsi="Arial"/>
                <w:sz w:val="16"/>
              </w:rPr>
              <w:t xml:space="preserve">ssessing </w:t>
            </w:r>
            <w:r w:rsidR="00E05F1A">
              <w:rPr>
                <w:rFonts w:ascii="Arial" w:hAnsi="Arial"/>
                <w:sz w:val="16"/>
              </w:rPr>
              <w:t>o</w:t>
            </w:r>
            <w:r>
              <w:rPr>
                <w:rFonts w:ascii="Arial" w:hAnsi="Arial"/>
                <w:sz w:val="16"/>
              </w:rPr>
              <w:t>fficer has taken into consideration flora species lists and site photographs submitted with the clearing permit application as well as Beard vegetation associations and land system mapping to determine the vegetation communities that are likely to be present within the application area.  The vegetation communities within the application area are likely to include:</w:t>
            </w:r>
          </w:p>
          <w:p w:rsidR="00A92DC5" w:rsidRDefault="00A92DC5" w:rsidP="00A92DC5">
            <w:pPr>
              <w:rPr>
                <w:rFonts w:ascii="Arial" w:hAnsi="Arial"/>
                <w:sz w:val="16"/>
              </w:rPr>
            </w:pPr>
          </w:p>
          <w:p w:rsidR="00A92DC5" w:rsidRDefault="00A92DC5" w:rsidP="00A92DC5">
            <w:pPr>
              <w:rPr>
                <w:rFonts w:ascii="Arial" w:hAnsi="Arial"/>
                <w:sz w:val="16"/>
              </w:rPr>
            </w:pPr>
            <w:r>
              <w:rPr>
                <w:rFonts w:ascii="Arial" w:hAnsi="Arial"/>
                <w:sz w:val="16"/>
              </w:rPr>
              <w:t xml:space="preserve">1)  Rocky Hillsides with scattered trees and shrubs (RH) - </w:t>
            </w:r>
            <w:r>
              <w:rPr>
                <w:rFonts w:ascii="Arial" w:hAnsi="Arial"/>
                <w:i/>
                <w:sz w:val="16"/>
              </w:rPr>
              <w:t xml:space="preserve">Acacia </w:t>
            </w:r>
            <w:proofErr w:type="spellStart"/>
            <w:r>
              <w:rPr>
                <w:rFonts w:ascii="Arial" w:hAnsi="Arial"/>
                <w:i/>
                <w:sz w:val="16"/>
              </w:rPr>
              <w:t>aneura</w:t>
            </w:r>
            <w:proofErr w:type="spellEnd"/>
            <w:r>
              <w:rPr>
                <w:rFonts w:ascii="Arial" w:hAnsi="Arial"/>
                <w:i/>
                <w:sz w:val="16"/>
              </w:rPr>
              <w:t xml:space="preserve">, A. </w:t>
            </w:r>
            <w:proofErr w:type="spellStart"/>
            <w:r>
              <w:rPr>
                <w:rFonts w:ascii="Arial" w:hAnsi="Arial"/>
                <w:i/>
                <w:sz w:val="16"/>
              </w:rPr>
              <w:t>marramamba</w:t>
            </w:r>
            <w:proofErr w:type="spellEnd"/>
            <w:r>
              <w:rPr>
                <w:rFonts w:ascii="Arial" w:hAnsi="Arial"/>
                <w:i/>
                <w:sz w:val="16"/>
              </w:rPr>
              <w:t xml:space="preserve">, A. </w:t>
            </w:r>
            <w:proofErr w:type="spellStart"/>
            <w:r>
              <w:rPr>
                <w:rFonts w:ascii="Arial" w:hAnsi="Arial"/>
                <w:i/>
                <w:sz w:val="16"/>
              </w:rPr>
              <w:t>tetragonophylla</w:t>
            </w:r>
            <w:proofErr w:type="spellEnd"/>
            <w:r>
              <w:rPr>
                <w:rFonts w:ascii="Arial" w:hAnsi="Arial"/>
                <w:sz w:val="16"/>
              </w:rPr>
              <w:t xml:space="preserve"> over </w:t>
            </w:r>
            <w:proofErr w:type="spellStart"/>
            <w:r>
              <w:rPr>
                <w:rFonts w:ascii="Arial" w:hAnsi="Arial"/>
                <w:i/>
                <w:sz w:val="16"/>
              </w:rPr>
              <w:t>Triodia</w:t>
            </w:r>
            <w:proofErr w:type="spellEnd"/>
            <w:r>
              <w:rPr>
                <w:rFonts w:ascii="Arial" w:hAnsi="Arial"/>
                <w:i/>
                <w:sz w:val="16"/>
              </w:rPr>
              <w:t xml:space="preserve"> </w:t>
            </w:r>
            <w:proofErr w:type="spellStart"/>
            <w:r>
              <w:rPr>
                <w:rFonts w:ascii="Arial" w:hAnsi="Arial"/>
                <w:i/>
                <w:sz w:val="16"/>
              </w:rPr>
              <w:t>pungens</w:t>
            </w:r>
            <w:proofErr w:type="spellEnd"/>
            <w:r>
              <w:rPr>
                <w:rFonts w:ascii="Arial" w:hAnsi="Arial"/>
                <w:i/>
                <w:sz w:val="16"/>
              </w:rPr>
              <w:t xml:space="preserve">, </w:t>
            </w:r>
            <w:proofErr w:type="spellStart"/>
            <w:r>
              <w:rPr>
                <w:rFonts w:ascii="Arial" w:hAnsi="Arial"/>
                <w:i/>
                <w:sz w:val="16"/>
              </w:rPr>
              <w:t>Eriachne</w:t>
            </w:r>
            <w:proofErr w:type="spellEnd"/>
            <w:r>
              <w:rPr>
                <w:rFonts w:ascii="Arial" w:hAnsi="Arial"/>
                <w:i/>
                <w:sz w:val="16"/>
              </w:rPr>
              <w:t xml:space="preserve"> </w:t>
            </w:r>
            <w:proofErr w:type="spellStart"/>
            <w:r>
              <w:rPr>
                <w:rFonts w:ascii="Arial" w:hAnsi="Arial"/>
                <w:i/>
                <w:sz w:val="16"/>
              </w:rPr>
              <w:t>mucronata</w:t>
            </w:r>
            <w:proofErr w:type="spellEnd"/>
            <w:r>
              <w:rPr>
                <w:rFonts w:ascii="Arial" w:hAnsi="Arial"/>
                <w:i/>
                <w:sz w:val="16"/>
              </w:rPr>
              <w:t xml:space="preserve">, </w:t>
            </w:r>
            <w:proofErr w:type="spellStart"/>
            <w:r>
              <w:rPr>
                <w:rFonts w:ascii="Arial" w:hAnsi="Arial"/>
                <w:i/>
                <w:sz w:val="16"/>
              </w:rPr>
              <w:t>Eremophila</w:t>
            </w:r>
            <w:proofErr w:type="spellEnd"/>
            <w:r>
              <w:rPr>
                <w:rFonts w:ascii="Arial" w:hAnsi="Arial"/>
                <w:i/>
                <w:sz w:val="16"/>
              </w:rPr>
              <w:t xml:space="preserve"> </w:t>
            </w:r>
            <w:proofErr w:type="spellStart"/>
            <w:r>
              <w:rPr>
                <w:rFonts w:ascii="Arial" w:hAnsi="Arial"/>
                <w:i/>
                <w:sz w:val="16"/>
              </w:rPr>
              <w:t>fraseri</w:t>
            </w:r>
            <w:proofErr w:type="spellEnd"/>
            <w:r>
              <w:rPr>
                <w:rFonts w:ascii="Arial" w:hAnsi="Arial"/>
                <w:i/>
                <w:sz w:val="16"/>
              </w:rPr>
              <w:t xml:space="preserve">, E. </w:t>
            </w:r>
            <w:proofErr w:type="spellStart"/>
            <w:r>
              <w:rPr>
                <w:rFonts w:ascii="Arial" w:hAnsi="Arial"/>
                <w:i/>
                <w:sz w:val="16"/>
              </w:rPr>
              <w:t>latrobei</w:t>
            </w:r>
            <w:proofErr w:type="spellEnd"/>
            <w:r>
              <w:rPr>
                <w:rFonts w:ascii="Arial" w:hAnsi="Arial"/>
                <w:sz w:val="16"/>
              </w:rPr>
              <w:t xml:space="preserve"> and </w:t>
            </w:r>
            <w:r w:rsidRPr="00E05F1A">
              <w:rPr>
                <w:rFonts w:ascii="Arial" w:hAnsi="Arial"/>
                <w:i/>
                <w:sz w:val="16"/>
              </w:rPr>
              <w:t>Grevillea</w:t>
            </w:r>
            <w:r>
              <w:rPr>
                <w:rFonts w:ascii="Arial" w:hAnsi="Arial"/>
                <w:i/>
                <w:sz w:val="16"/>
              </w:rPr>
              <w:t xml:space="preserve"> </w:t>
            </w:r>
            <w:proofErr w:type="spellStart"/>
            <w:r>
              <w:rPr>
                <w:rFonts w:ascii="Arial" w:hAnsi="Arial"/>
                <w:i/>
                <w:sz w:val="16"/>
              </w:rPr>
              <w:t>berryana</w:t>
            </w:r>
            <w:proofErr w:type="spellEnd"/>
            <w:r>
              <w:rPr>
                <w:rFonts w:ascii="Arial" w:hAnsi="Arial"/>
                <w:sz w:val="16"/>
              </w:rPr>
              <w:t xml:space="preserve">.  </w:t>
            </w:r>
          </w:p>
          <w:p w:rsidR="00A92DC5" w:rsidRDefault="00A92DC5" w:rsidP="00A92DC5">
            <w:pPr>
              <w:rPr>
                <w:rFonts w:ascii="Arial" w:hAnsi="Arial"/>
                <w:sz w:val="16"/>
              </w:rPr>
            </w:pPr>
          </w:p>
          <w:p w:rsidR="00A92DC5" w:rsidRDefault="00A92DC5" w:rsidP="00A92DC5">
            <w:pPr>
              <w:rPr>
                <w:rFonts w:ascii="Arial" w:hAnsi="Arial"/>
                <w:sz w:val="16"/>
              </w:rPr>
            </w:pPr>
            <w:r>
              <w:rPr>
                <w:rFonts w:ascii="Arial" w:hAnsi="Arial"/>
                <w:sz w:val="16"/>
              </w:rPr>
              <w:t xml:space="preserve">2)  Lower Slopes with low open woodland and </w:t>
            </w:r>
            <w:proofErr w:type="spellStart"/>
            <w:r>
              <w:rPr>
                <w:rFonts w:ascii="Arial" w:hAnsi="Arial"/>
                <w:sz w:val="16"/>
              </w:rPr>
              <w:t>spinifex</w:t>
            </w:r>
            <w:proofErr w:type="spellEnd"/>
            <w:r>
              <w:rPr>
                <w:rFonts w:ascii="Arial" w:hAnsi="Arial"/>
                <w:sz w:val="16"/>
              </w:rPr>
              <w:t xml:space="preserve"> grassland (LS) - </w:t>
            </w:r>
            <w:r>
              <w:rPr>
                <w:rFonts w:ascii="Arial" w:hAnsi="Arial"/>
                <w:i/>
                <w:sz w:val="16"/>
              </w:rPr>
              <w:t xml:space="preserve">Acacia </w:t>
            </w:r>
            <w:proofErr w:type="spellStart"/>
            <w:r>
              <w:rPr>
                <w:rFonts w:ascii="Arial" w:hAnsi="Arial"/>
                <w:i/>
                <w:sz w:val="16"/>
              </w:rPr>
              <w:t>aneura</w:t>
            </w:r>
            <w:proofErr w:type="spellEnd"/>
            <w:r>
              <w:rPr>
                <w:rFonts w:ascii="Arial" w:hAnsi="Arial"/>
                <w:i/>
                <w:sz w:val="16"/>
              </w:rPr>
              <w:t xml:space="preserve">, A. </w:t>
            </w:r>
            <w:proofErr w:type="spellStart"/>
            <w:r>
              <w:rPr>
                <w:rFonts w:ascii="Arial" w:hAnsi="Arial"/>
                <w:i/>
                <w:sz w:val="16"/>
              </w:rPr>
              <w:t>pruinocarpa</w:t>
            </w:r>
            <w:proofErr w:type="spellEnd"/>
            <w:r>
              <w:rPr>
                <w:rFonts w:ascii="Arial" w:hAnsi="Arial"/>
                <w:sz w:val="16"/>
              </w:rPr>
              <w:t xml:space="preserve">, and </w:t>
            </w:r>
            <w:r>
              <w:rPr>
                <w:rFonts w:ascii="Arial" w:hAnsi="Arial"/>
                <w:i/>
                <w:sz w:val="16"/>
              </w:rPr>
              <w:t xml:space="preserve">A. </w:t>
            </w:r>
            <w:proofErr w:type="spellStart"/>
            <w:r>
              <w:rPr>
                <w:rFonts w:ascii="Arial" w:hAnsi="Arial"/>
                <w:i/>
                <w:sz w:val="16"/>
              </w:rPr>
              <w:t>tetragonophylla</w:t>
            </w:r>
            <w:proofErr w:type="spellEnd"/>
            <w:r>
              <w:rPr>
                <w:rFonts w:ascii="Arial" w:hAnsi="Arial"/>
                <w:sz w:val="16"/>
              </w:rPr>
              <w:t xml:space="preserve"> over </w:t>
            </w:r>
            <w:proofErr w:type="spellStart"/>
            <w:r>
              <w:rPr>
                <w:rFonts w:ascii="Arial" w:hAnsi="Arial"/>
                <w:i/>
                <w:sz w:val="16"/>
              </w:rPr>
              <w:t>Triodia</w:t>
            </w:r>
            <w:proofErr w:type="spellEnd"/>
            <w:r>
              <w:rPr>
                <w:rFonts w:ascii="Arial" w:hAnsi="Arial"/>
                <w:i/>
                <w:sz w:val="16"/>
              </w:rPr>
              <w:t xml:space="preserve"> </w:t>
            </w:r>
            <w:proofErr w:type="spellStart"/>
            <w:r>
              <w:rPr>
                <w:rFonts w:ascii="Arial" w:hAnsi="Arial"/>
                <w:i/>
                <w:sz w:val="16"/>
              </w:rPr>
              <w:t>pungens</w:t>
            </w:r>
            <w:proofErr w:type="spellEnd"/>
            <w:r>
              <w:rPr>
                <w:rFonts w:ascii="Arial" w:hAnsi="Arial"/>
                <w:sz w:val="16"/>
              </w:rPr>
              <w:t xml:space="preserve"> and </w:t>
            </w:r>
            <w:proofErr w:type="spellStart"/>
            <w:r>
              <w:rPr>
                <w:rFonts w:ascii="Arial" w:hAnsi="Arial"/>
                <w:i/>
                <w:sz w:val="16"/>
              </w:rPr>
              <w:t>Marieana</w:t>
            </w:r>
            <w:proofErr w:type="spellEnd"/>
            <w:r>
              <w:rPr>
                <w:rFonts w:ascii="Arial" w:hAnsi="Arial"/>
                <w:i/>
                <w:sz w:val="16"/>
              </w:rPr>
              <w:t xml:space="preserve"> </w:t>
            </w:r>
            <w:proofErr w:type="spellStart"/>
            <w:r>
              <w:rPr>
                <w:rFonts w:ascii="Arial" w:hAnsi="Arial"/>
                <w:i/>
                <w:sz w:val="16"/>
              </w:rPr>
              <w:t>villosa</w:t>
            </w:r>
            <w:proofErr w:type="spellEnd"/>
            <w:r>
              <w:rPr>
                <w:rFonts w:ascii="Arial" w:hAnsi="Arial"/>
                <w:sz w:val="16"/>
              </w:rPr>
              <w:t xml:space="preserve">. </w:t>
            </w:r>
          </w:p>
          <w:p w:rsidR="00A92DC5" w:rsidRDefault="00A92DC5" w:rsidP="00A92DC5">
            <w:pPr>
              <w:rPr>
                <w:rFonts w:ascii="Arial" w:hAnsi="Arial"/>
                <w:sz w:val="16"/>
              </w:rPr>
            </w:pPr>
          </w:p>
          <w:p w:rsidR="00A92DC5" w:rsidRDefault="00A92DC5" w:rsidP="00A92DC5">
            <w:pPr>
              <w:rPr>
                <w:rFonts w:ascii="Arial" w:hAnsi="Arial"/>
                <w:sz w:val="16"/>
              </w:rPr>
            </w:pPr>
            <w:r>
              <w:rPr>
                <w:rFonts w:ascii="Arial" w:hAnsi="Arial"/>
                <w:sz w:val="16"/>
              </w:rPr>
              <w:t xml:space="preserve">3)  Grove 1: Densely vegetated drainage line dissecting LS (G1) - </w:t>
            </w:r>
            <w:r>
              <w:rPr>
                <w:rFonts w:ascii="Arial" w:hAnsi="Arial"/>
                <w:i/>
                <w:sz w:val="16"/>
              </w:rPr>
              <w:t xml:space="preserve">Acacia </w:t>
            </w:r>
            <w:proofErr w:type="spellStart"/>
            <w:r>
              <w:rPr>
                <w:rFonts w:ascii="Arial" w:hAnsi="Arial"/>
                <w:i/>
                <w:sz w:val="16"/>
              </w:rPr>
              <w:t>wanyu</w:t>
            </w:r>
            <w:proofErr w:type="spellEnd"/>
            <w:r>
              <w:rPr>
                <w:rFonts w:ascii="Arial" w:hAnsi="Arial"/>
                <w:i/>
                <w:sz w:val="16"/>
              </w:rPr>
              <w:t xml:space="preserve">, A. </w:t>
            </w:r>
            <w:proofErr w:type="spellStart"/>
            <w:r>
              <w:rPr>
                <w:rFonts w:ascii="Arial" w:hAnsi="Arial"/>
                <w:i/>
                <w:sz w:val="16"/>
              </w:rPr>
              <w:t>aneura</w:t>
            </w:r>
            <w:proofErr w:type="spellEnd"/>
            <w:r>
              <w:rPr>
                <w:rFonts w:ascii="Arial" w:hAnsi="Arial"/>
                <w:sz w:val="16"/>
              </w:rPr>
              <w:t xml:space="preserve"> and </w:t>
            </w:r>
            <w:r>
              <w:rPr>
                <w:rFonts w:ascii="Arial" w:hAnsi="Arial"/>
                <w:i/>
                <w:sz w:val="16"/>
              </w:rPr>
              <w:t xml:space="preserve">A. </w:t>
            </w:r>
            <w:proofErr w:type="spellStart"/>
            <w:r>
              <w:rPr>
                <w:rFonts w:ascii="Arial" w:hAnsi="Arial"/>
                <w:i/>
                <w:sz w:val="16"/>
              </w:rPr>
              <w:t>pruinocarpa</w:t>
            </w:r>
            <w:proofErr w:type="spellEnd"/>
            <w:r>
              <w:rPr>
                <w:rFonts w:ascii="Arial" w:hAnsi="Arial"/>
                <w:sz w:val="16"/>
              </w:rPr>
              <w:t xml:space="preserve"> over </w:t>
            </w:r>
            <w:proofErr w:type="spellStart"/>
            <w:r>
              <w:rPr>
                <w:rFonts w:ascii="Arial" w:hAnsi="Arial"/>
                <w:i/>
                <w:sz w:val="16"/>
              </w:rPr>
              <w:t>Marieana</w:t>
            </w:r>
            <w:proofErr w:type="spellEnd"/>
            <w:r>
              <w:rPr>
                <w:rFonts w:ascii="Arial" w:hAnsi="Arial"/>
                <w:i/>
                <w:sz w:val="16"/>
              </w:rPr>
              <w:t xml:space="preserve"> </w:t>
            </w:r>
            <w:proofErr w:type="spellStart"/>
            <w:r>
              <w:rPr>
                <w:rFonts w:ascii="Arial" w:hAnsi="Arial"/>
                <w:i/>
                <w:sz w:val="16"/>
              </w:rPr>
              <w:t>villosa</w:t>
            </w:r>
            <w:proofErr w:type="spellEnd"/>
            <w:r>
              <w:rPr>
                <w:rFonts w:ascii="Arial" w:hAnsi="Arial"/>
                <w:sz w:val="16"/>
              </w:rPr>
              <w:t xml:space="preserve">, </w:t>
            </w:r>
            <w:proofErr w:type="spellStart"/>
            <w:r>
              <w:rPr>
                <w:rFonts w:ascii="Arial" w:hAnsi="Arial"/>
                <w:i/>
                <w:sz w:val="16"/>
              </w:rPr>
              <w:t>Ptilotus</w:t>
            </w:r>
            <w:proofErr w:type="spellEnd"/>
            <w:r>
              <w:rPr>
                <w:rFonts w:ascii="Arial" w:hAnsi="Arial"/>
                <w:i/>
                <w:sz w:val="16"/>
              </w:rPr>
              <w:t xml:space="preserve"> </w:t>
            </w:r>
            <w:proofErr w:type="spellStart"/>
            <w:r>
              <w:rPr>
                <w:rFonts w:ascii="Arial" w:hAnsi="Arial"/>
                <w:i/>
                <w:sz w:val="16"/>
              </w:rPr>
              <w:t>astrolasius</w:t>
            </w:r>
            <w:proofErr w:type="spellEnd"/>
            <w:r>
              <w:rPr>
                <w:rFonts w:ascii="Arial" w:hAnsi="Arial"/>
                <w:i/>
                <w:sz w:val="16"/>
              </w:rPr>
              <w:t xml:space="preserve">, P. </w:t>
            </w:r>
            <w:proofErr w:type="spellStart"/>
            <w:r>
              <w:rPr>
                <w:rFonts w:ascii="Arial" w:hAnsi="Arial"/>
                <w:i/>
                <w:sz w:val="16"/>
              </w:rPr>
              <w:t>schwartzii</w:t>
            </w:r>
            <w:proofErr w:type="spellEnd"/>
            <w:r>
              <w:rPr>
                <w:rFonts w:ascii="Arial" w:hAnsi="Arial"/>
                <w:sz w:val="16"/>
              </w:rPr>
              <w:t xml:space="preserve"> and </w:t>
            </w:r>
            <w:proofErr w:type="spellStart"/>
            <w:r>
              <w:rPr>
                <w:rFonts w:ascii="Arial" w:hAnsi="Arial"/>
                <w:i/>
                <w:sz w:val="16"/>
              </w:rPr>
              <w:t>Tribulus</w:t>
            </w:r>
            <w:proofErr w:type="spellEnd"/>
            <w:r>
              <w:rPr>
                <w:rFonts w:ascii="Arial" w:hAnsi="Arial"/>
                <w:i/>
                <w:sz w:val="16"/>
              </w:rPr>
              <w:t xml:space="preserve"> </w:t>
            </w:r>
            <w:proofErr w:type="spellStart"/>
            <w:r>
              <w:rPr>
                <w:rFonts w:ascii="Arial" w:hAnsi="Arial"/>
                <w:i/>
                <w:sz w:val="16"/>
              </w:rPr>
              <w:t>suberosus</w:t>
            </w:r>
            <w:proofErr w:type="spellEnd"/>
            <w:r>
              <w:rPr>
                <w:rFonts w:ascii="Arial" w:hAnsi="Arial"/>
                <w:sz w:val="16"/>
              </w:rPr>
              <w:t xml:space="preserve">.  </w:t>
            </w:r>
          </w:p>
          <w:p w:rsidR="00A92DC5" w:rsidRDefault="00A92DC5" w:rsidP="00A92DC5">
            <w:pPr>
              <w:rPr>
                <w:rFonts w:ascii="Arial" w:hAnsi="Arial"/>
                <w:sz w:val="16"/>
              </w:rPr>
            </w:pPr>
          </w:p>
          <w:p w:rsidR="00A92DC5" w:rsidRDefault="00A92DC5" w:rsidP="00A92DC5">
            <w:pPr>
              <w:rPr>
                <w:rFonts w:ascii="Arial" w:hAnsi="Arial"/>
                <w:sz w:val="16"/>
              </w:rPr>
            </w:pPr>
            <w:r>
              <w:rPr>
                <w:rFonts w:ascii="Arial" w:hAnsi="Arial"/>
                <w:sz w:val="16"/>
              </w:rPr>
              <w:t xml:space="preserve">4)  Mulga Plains with sparse understorey (MP) - </w:t>
            </w:r>
            <w:r>
              <w:rPr>
                <w:rFonts w:ascii="Arial" w:hAnsi="Arial"/>
                <w:i/>
                <w:sz w:val="16"/>
              </w:rPr>
              <w:t xml:space="preserve">Acacia </w:t>
            </w:r>
            <w:proofErr w:type="spellStart"/>
            <w:r>
              <w:rPr>
                <w:rFonts w:ascii="Arial" w:hAnsi="Arial"/>
                <w:i/>
                <w:sz w:val="16"/>
              </w:rPr>
              <w:t>aneura</w:t>
            </w:r>
            <w:proofErr w:type="spellEnd"/>
            <w:r>
              <w:rPr>
                <w:rFonts w:ascii="Arial" w:hAnsi="Arial"/>
                <w:sz w:val="16"/>
              </w:rPr>
              <w:t xml:space="preserve"> and </w:t>
            </w:r>
            <w:r>
              <w:rPr>
                <w:rFonts w:ascii="Arial" w:hAnsi="Arial"/>
                <w:i/>
                <w:sz w:val="16"/>
              </w:rPr>
              <w:t xml:space="preserve">A. </w:t>
            </w:r>
            <w:proofErr w:type="spellStart"/>
            <w:r>
              <w:rPr>
                <w:rFonts w:ascii="Arial" w:hAnsi="Arial"/>
                <w:i/>
                <w:sz w:val="16"/>
              </w:rPr>
              <w:t>tetragonophylla</w:t>
            </w:r>
            <w:proofErr w:type="spellEnd"/>
            <w:r>
              <w:rPr>
                <w:rFonts w:ascii="Arial" w:hAnsi="Arial"/>
                <w:sz w:val="16"/>
              </w:rPr>
              <w:t xml:space="preserve"> over </w:t>
            </w:r>
            <w:r>
              <w:rPr>
                <w:rFonts w:ascii="Arial" w:hAnsi="Arial"/>
                <w:sz w:val="16"/>
              </w:rPr>
              <w:lastRenderedPageBreak/>
              <w:t xml:space="preserve">sparsely populated </w:t>
            </w:r>
            <w:proofErr w:type="spellStart"/>
            <w:r>
              <w:rPr>
                <w:rFonts w:ascii="Arial" w:hAnsi="Arial"/>
                <w:i/>
                <w:sz w:val="16"/>
              </w:rPr>
              <w:t>Maireana</w:t>
            </w:r>
            <w:proofErr w:type="spellEnd"/>
            <w:r>
              <w:rPr>
                <w:rFonts w:ascii="Arial" w:hAnsi="Arial"/>
                <w:i/>
                <w:sz w:val="16"/>
              </w:rPr>
              <w:t xml:space="preserve"> </w:t>
            </w:r>
            <w:proofErr w:type="spellStart"/>
            <w:r>
              <w:rPr>
                <w:rFonts w:ascii="Arial" w:hAnsi="Arial"/>
                <w:i/>
                <w:sz w:val="16"/>
              </w:rPr>
              <w:t>villosa</w:t>
            </w:r>
            <w:proofErr w:type="spellEnd"/>
            <w:r>
              <w:rPr>
                <w:rFonts w:ascii="Arial" w:hAnsi="Arial"/>
                <w:sz w:val="16"/>
              </w:rPr>
              <w:t xml:space="preserve"> and </w:t>
            </w:r>
            <w:proofErr w:type="spellStart"/>
            <w:r>
              <w:rPr>
                <w:rFonts w:ascii="Arial" w:hAnsi="Arial"/>
                <w:i/>
                <w:sz w:val="16"/>
              </w:rPr>
              <w:t>Senna</w:t>
            </w:r>
            <w:proofErr w:type="spellEnd"/>
            <w:r>
              <w:rPr>
                <w:rFonts w:ascii="Arial" w:hAnsi="Arial"/>
                <w:i/>
                <w:sz w:val="16"/>
              </w:rPr>
              <w:t xml:space="preserve"> </w:t>
            </w:r>
            <w:proofErr w:type="spellStart"/>
            <w:r>
              <w:rPr>
                <w:rFonts w:ascii="Arial" w:hAnsi="Arial"/>
                <w:i/>
                <w:sz w:val="16"/>
              </w:rPr>
              <w:t>glutinosa</w:t>
            </w:r>
            <w:proofErr w:type="spellEnd"/>
            <w:r>
              <w:rPr>
                <w:rFonts w:ascii="Arial" w:hAnsi="Arial"/>
                <w:sz w:val="16"/>
              </w:rPr>
              <w:t xml:space="preserve"> </w:t>
            </w:r>
            <w:proofErr w:type="spellStart"/>
            <w:r>
              <w:rPr>
                <w:rFonts w:ascii="Arial" w:hAnsi="Arial"/>
                <w:sz w:val="16"/>
              </w:rPr>
              <w:t>subsp</w:t>
            </w:r>
            <w:proofErr w:type="spellEnd"/>
            <w:r>
              <w:rPr>
                <w:rFonts w:ascii="Arial" w:hAnsi="Arial"/>
                <w:sz w:val="16"/>
              </w:rPr>
              <w:t xml:space="preserve"> </w:t>
            </w:r>
            <w:proofErr w:type="spellStart"/>
            <w:r>
              <w:rPr>
                <w:rFonts w:ascii="Arial" w:hAnsi="Arial"/>
                <w:i/>
                <w:sz w:val="16"/>
              </w:rPr>
              <w:t>glutinosa</w:t>
            </w:r>
            <w:proofErr w:type="spellEnd"/>
            <w:r>
              <w:rPr>
                <w:rFonts w:ascii="Arial" w:hAnsi="Arial"/>
                <w:sz w:val="16"/>
              </w:rPr>
              <w:t xml:space="preserve">. </w:t>
            </w:r>
          </w:p>
          <w:p w:rsidR="00A92DC5" w:rsidRDefault="00A92DC5" w:rsidP="00A92DC5">
            <w:pPr>
              <w:rPr>
                <w:rFonts w:ascii="Arial" w:hAnsi="Arial"/>
                <w:sz w:val="16"/>
              </w:rPr>
            </w:pPr>
          </w:p>
          <w:p w:rsidR="00A92DC5" w:rsidRDefault="00A92DC5" w:rsidP="00A92DC5">
            <w:pPr>
              <w:rPr>
                <w:rFonts w:ascii="Arial" w:hAnsi="Arial"/>
                <w:sz w:val="16"/>
              </w:rPr>
            </w:pPr>
            <w:r>
              <w:rPr>
                <w:rFonts w:ascii="Arial" w:hAnsi="Arial"/>
                <w:sz w:val="16"/>
              </w:rPr>
              <w:t xml:space="preserve">5)  Stony Plains (SP) - </w:t>
            </w:r>
            <w:r>
              <w:rPr>
                <w:rFonts w:ascii="Arial" w:hAnsi="Arial"/>
                <w:i/>
                <w:sz w:val="16"/>
              </w:rPr>
              <w:t xml:space="preserve">Acacia </w:t>
            </w:r>
            <w:proofErr w:type="spellStart"/>
            <w:r>
              <w:rPr>
                <w:rFonts w:ascii="Arial" w:hAnsi="Arial"/>
                <w:i/>
                <w:sz w:val="16"/>
              </w:rPr>
              <w:t>aneura</w:t>
            </w:r>
            <w:proofErr w:type="spellEnd"/>
            <w:r>
              <w:rPr>
                <w:rFonts w:ascii="Arial" w:hAnsi="Arial"/>
                <w:i/>
                <w:sz w:val="16"/>
              </w:rPr>
              <w:t xml:space="preserve">, A. </w:t>
            </w:r>
            <w:proofErr w:type="spellStart"/>
            <w:r>
              <w:rPr>
                <w:rFonts w:ascii="Arial" w:hAnsi="Arial"/>
                <w:i/>
                <w:sz w:val="16"/>
              </w:rPr>
              <w:t>tetragonophylla</w:t>
            </w:r>
            <w:proofErr w:type="spellEnd"/>
            <w:r>
              <w:rPr>
                <w:rFonts w:ascii="Arial" w:hAnsi="Arial"/>
                <w:i/>
                <w:sz w:val="16"/>
              </w:rPr>
              <w:t xml:space="preserve">, A. </w:t>
            </w:r>
            <w:proofErr w:type="spellStart"/>
            <w:r>
              <w:rPr>
                <w:rFonts w:ascii="Arial" w:hAnsi="Arial"/>
                <w:i/>
                <w:sz w:val="16"/>
              </w:rPr>
              <w:t>wanyu</w:t>
            </w:r>
            <w:proofErr w:type="spellEnd"/>
            <w:r>
              <w:rPr>
                <w:rFonts w:ascii="Arial" w:hAnsi="Arial"/>
                <w:sz w:val="16"/>
              </w:rPr>
              <w:t xml:space="preserve"> and </w:t>
            </w:r>
            <w:proofErr w:type="spellStart"/>
            <w:r>
              <w:rPr>
                <w:rFonts w:ascii="Arial" w:hAnsi="Arial"/>
                <w:i/>
                <w:sz w:val="16"/>
              </w:rPr>
              <w:t>Eremophila</w:t>
            </w:r>
            <w:proofErr w:type="spellEnd"/>
            <w:r>
              <w:rPr>
                <w:rFonts w:ascii="Arial" w:hAnsi="Arial"/>
                <w:i/>
                <w:sz w:val="16"/>
              </w:rPr>
              <w:t xml:space="preserve"> </w:t>
            </w:r>
            <w:proofErr w:type="spellStart"/>
            <w:r>
              <w:rPr>
                <w:rFonts w:ascii="Arial" w:hAnsi="Arial"/>
                <w:i/>
                <w:sz w:val="16"/>
              </w:rPr>
              <w:t>cuneifolia</w:t>
            </w:r>
            <w:proofErr w:type="spellEnd"/>
            <w:r>
              <w:rPr>
                <w:rFonts w:ascii="Arial" w:hAnsi="Arial"/>
                <w:sz w:val="16"/>
              </w:rPr>
              <w:t>.</w:t>
            </w:r>
          </w:p>
          <w:p w:rsidR="00A92DC5" w:rsidRDefault="00A92DC5" w:rsidP="00A92DC5">
            <w:pPr>
              <w:rPr>
                <w:rFonts w:ascii="Arial" w:hAnsi="Arial"/>
                <w:sz w:val="16"/>
              </w:rPr>
            </w:pPr>
          </w:p>
          <w:p w:rsidR="00A92DC5" w:rsidRDefault="00A92DC5" w:rsidP="00A92DC5">
            <w:pPr>
              <w:rPr>
                <w:rFonts w:ascii="Arial" w:hAnsi="Arial"/>
                <w:sz w:val="16"/>
              </w:rPr>
            </w:pPr>
            <w:r>
              <w:rPr>
                <w:rFonts w:ascii="Arial" w:hAnsi="Arial"/>
                <w:sz w:val="16"/>
              </w:rPr>
              <w:t xml:space="preserve">6)  Regrowth Areas (RA) - </w:t>
            </w:r>
            <w:r>
              <w:rPr>
                <w:rFonts w:ascii="Arial" w:hAnsi="Arial"/>
                <w:i/>
                <w:sz w:val="16"/>
              </w:rPr>
              <w:t xml:space="preserve">Acacia </w:t>
            </w:r>
            <w:proofErr w:type="spellStart"/>
            <w:r>
              <w:rPr>
                <w:rFonts w:ascii="Arial" w:hAnsi="Arial"/>
                <w:i/>
                <w:sz w:val="16"/>
              </w:rPr>
              <w:t>aneura</w:t>
            </w:r>
            <w:proofErr w:type="spellEnd"/>
            <w:r>
              <w:rPr>
                <w:rFonts w:ascii="Arial" w:hAnsi="Arial"/>
                <w:sz w:val="16"/>
              </w:rPr>
              <w:t xml:space="preserve"> and </w:t>
            </w:r>
            <w:r>
              <w:rPr>
                <w:rFonts w:ascii="Arial" w:hAnsi="Arial"/>
                <w:i/>
                <w:sz w:val="16"/>
              </w:rPr>
              <w:t xml:space="preserve">A. </w:t>
            </w:r>
            <w:proofErr w:type="spellStart"/>
            <w:r>
              <w:rPr>
                <w:rFonts w:ascii="Arial" w:hAnsi="Arial"/>
                <w:i/>
                <w:sz w:val="16"/>
              </w:rPr>
              <w:t>synchronicia</w:t>
            </w:r>
            <w:proofErr w:type="spellEnd"/>
            <w:r>
              <w:rPr>
                <w:rFonts w:ascii="Arial" w:hAnsi="Arial"/>
                <w:sz w:val="16"/>
              </w:rPr>
              <w:t xml:space="preserve"> low open forest with open heath over open tussock grassland.  </w:t>
            </w:r>
          </w:p>
          <w:p w:rsidR="00D12AB0" w:rsidRDefault="00D12AB0">
            <w:pPr>
              <w:pStyle w:val="table"/>
              <w:spacing w:before="60"/>
              <w:rPr>
                <w:sz w:val="16"/>
              </w:rPr>
            </w:pPr>
          </w:p>
        </w:tc>
        <w:tc>
          <w:tcPr>
            <w:tcW w:w="1418" w:type="dxa"/>
            <w:tcBorders>
              <w:top w:val="nil"/>
              <w:left w:val="nil"/>
              <w:bottom w:val="nil"/>
              <w:right w:val="nil"/>
            </w:tcBorders>
          </w:tcPr>
          <w:p w:rsidR="008F0889" w:rsidRDefault="008F0889">
            <w:pPr>
              <w:pStyle w:val="table"/>
              <w:spacing w:before="60"/>
              <w:rPr>
                <w:sz w:val="16"/>
              </w:rPr>
            </w:pPr>
            <w:r>
              <w:rPr>
                <w:sz w:val="16"/>
              </w:rPr>
              <w:lastRenderedPageBreak/>
              <w:t xml:space="preserve">Hamersley Iron Pty Ltd has applied to clear 8.2 hectares of native vegetation for the rehabilitation of the 11 West Waste Dump at the Paraburdoo mine site.  The proposed clearing will allow for the reforming of the waste dump to facilitate rehabilitation. Vegetation will be cleared by a bulldozer with its blade down, and vegetation and topsoil will be collected and stockpiled for future rehabilitation (Hamersley Iron, 2008).  </w:t>
            </w:r>
          </w:p>
          <w:p w:rsidR="008F0889" w:rsidRDefault="008F0889">
            <w:pPr>
              <w:pStyle w:val="table"/>
              <w:spacing w:before="60"/>
              <w:rPr>
                <w:sz w:val="16"/>
              </w:rPr>
            </w:pPr>
          </w:p>
          <w:p w:rsidR="00D12AB0" w:rsidRDefault="00D12AB0">
            <w:pPr>
              <w:pStyle w:val="table"/>
              <w:spacing w:before="60"/>
              <w:rPr>
                <w:sz w:val="16"/>
              </w:rPr>
            </w:pPr>
          </w:p>
        </w:tc>
        <w:tc>
          <w:tcPr>
            <w:tcW w:w="1134" w:type="dxa"/>
            <w:tcBorders>
              <w:top w:val="nil"/>
              <w:left w:val="nil"/>
              <w:bottom w:val="nil"/>
              <w:right w:val="nil"/>
            </w:tcBorders>
          </w:tcPr>
          <w:p w:rsidR="00D12AB0" w:rsidRDefault="008F0889">
            <w:pPr>
              <w:pStyle w:val="table"/>
              <w:spacing w:before="60"/>
              <w:rPr>
                <w:sz w:val="16"/>
              </w:rPr>
            </w:pPr>
            <w:r>
              <w:rPr>
                <w:sz w:val="16"/>
              </w:rPr>
              <w:t>Good: Structure significantly altered by multiple disturbance; retains basic structure/ability to regenerate (Keighery 1994)</w:t>
            </w:r>
          </w:p>
        </w:tc>
        <w:tc>
          <w:tcPr>
            <w:tcW w:w="1701" w:type="dxa"/>
            <w:tcBorders>
              <w:top w:val="nil"/>
              <w:left w:val="nil"/>
              <w:bottom w:val="nil"/>
              <w:right w:val="nil"/>
            </w:tcBorders>
          </w:tcPr>
          <w:p w:rsidR="008F0889" w:rsidRDefault="008F0889">
            <w:pPr>
              <w:pStyle w:val="table"/>
              <w:spacing w:before="60"/>
              <w:rPr>
                <w:sz w:val="16"/>
              </w:rPr>
            </w:pPr>
            <w:r>
              <w:rPr>
                <w:sz w:val="16"/>
              </w:rPr>
              <w:t>Vegetation condition was assessed by photographs and survey information provided by Hamersley Iron (2008) and Keith Lindbeck and Associates (2007a).</w:t>
            </w:r>
          </w:p>
          <w:p w:rsidR="008F0889" w:rsidRDefault="008F0889">
            <w:pPr>
              <w:pStyle w:val="table"/>
              <w:spacing w:before="60"/>
              <w:rPr>
                <w:sz w:val="16"/>
              </w:rPr>
            </w:pPr>
          </w:p>
          <w:p w:rsidR="008F0889" w:rsidRDefault="008F0889">
            <w:pPr>
              <w:pStyle w:val="table"/>
              <w:spacing w:before="60"/>
              <w:rPr>
                <w:sz w:val="16"/>
              </w:rPr>
            </w:pPr>
            <w:r>
              <w:rPr>
                <w:sz w:val="16"/>
              </w:rPr>
              <w:t xml:space="preserve">The Assessing Officer notes that approximately 6.5 hectares of the 10.4 hectare application area has been previously approved to be cleared under clearing permit CPS 174/1.  Clearing permit CPS 174/1 was valid from 18 December 2004 to 12 December 2006.  As the permit expired on 12 December 2006, Hamersley Iron Pty Ltd requires a new clearing permit to clear native vegetation in the area. </w:t>
            </w:r>
          </w:p>
          <w:p w:rsidR="00395D04" w:rsidRDefault="00395D04">
            <w:pPr>
              <w:pStyle w:val="table"/>
              <w:spacing w:before="60"/>
              <w:rPr>
                <w:sz w:val="16"/>
              </w:rPr>
            </w:pPr>
          </w:p>
          <w:p w:rsidR="00D12AB0" w:rsidRDefault="008F0889" w:rsidP="00C73695">
            <w:pPr>
              <w:pStyle w:val="table"/>
              <w:spacing w:before="60"/>
              <w:rPr>
                <w:sz w:val="16"/>
              </w:rPr>
            </w:pPr>
            <w:r>
              <w:rPr>
                <w:sz w:val="16"/>
              </w:rPr>
              <w:t>Clearing permit CPS 2234/1 was granted by the Department of Industry and Resources (DoIR) (now the Department of Mines and Petroleum (DMP)) on 17 April 2008, and is valid from 17 May 2008 to 17 May 2010.  The permit authorise</w:t>
            </w:r>
            <w:r w:rsidR="00C73695">
              <w:rPr>
                <w:sz w:val="16"/>
              </w:rPr>
              <w:t>s</w:t>
            </w:r>
            <w:r>
              <w:rPr>
                <w:sz w:val="16"/>
              </w:rPr>
              <w:t xml:space="preserve"> the clearing of up to 8.2 hectares of native vegetation.  An application for an amendment to clearing permit CPS 2234/1 was submitted by Hamersley Iron Pty Ltd to DMP on 16 March 2010.  Hamersley Iron has applied to extend the expiry date of the clearing permit to 17 May 2014.  The size of the area and clearing area boundary that was approved under clearing permit CPS 2234/1 will remain unchanged.</w:t>
            </w:r>
          </w:p>
        </w:tc>
      </w:tr>
    </w:tbl>
    <w:p w:rsidR="00D12AB0" w:rsidRDefault="00D12AB0">
      <w:pPr>
        <w:pStyle w:val="Heading1"/>
        <w:keepLines/>
      </w:pPr>
      <w:r>
        <w:lastRenderedPageBreak/>
        <w:t>Assessment of application against clearing principles</w:t>
      </w:r>
    </w:p>
    <w:p w:rsidR="00D12AB0" w:rsidRDefault="00D12AB0">
      <w:pPr>
        <w:pStyle w:val="Heading4"/>
        <w:keepLines/>
        <w:shd w:val="pct10" w:color="auto" w:fill="FFFFFF"/>
        <w:ind w:left="425" w:hanging="425"/>
      </w:pPr>
      <w:r>
        <w:t>(a)</w:t>
      </w:r>
      <w:r>
        <w:tab/>
        <w:t>Native vegetation should not be cleared if it comprises a high level of biological diversity.</w:t>
      </w:r>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8F0889">
            <w:pPr>
              <w:pStyle w:val="table"/>
              <w:keepNext/>
              <w:keepLines/>
              <w:tabs>
                <w:tab w:val="clear" w:pos="426"/>
                <w:tab w:val="left" w:pos="2552"/>
              </w:tabs>
              <w:rPr>
                <w:b/>
                <w:i/>
              </w:rPr>
            </w:pPr>
            <w:r>
              <w:rPr>
                <w:b/>
                <w:sz w:val="20"/>
              </w:rPr>
              <w:t>Proposal is not likely to be at variance to this Principle</w:t>
            </w:r>
          </w:p>
        </w:tc>
      </w:tr>
      <w:tr w:rsidR="00A92DC5">
        <w:tc>
          <w:tcPr>
            <w:tcW w:w="1242" w:type="dxa"/>
          </w:tcPr>
          <w:p w:rsidR="00A92DC5" w:rsidRDefault="00A92DC5">
            <w:pPr>
              <w:pStyle w:val="table"/>
              <w:keepLines/>
              <w:tabs>
                <w:tab w:val="clear" w:pos="426"/>
                <w:tab w:val="left" w:pos="2552"/>
              </w:tabs>
              <w:rPr>
                <w:b/>
                <w:sz w:val="16"/>
              </w:rPr>
            </w:pPr>
          </w:p>
        </w:tc>
        <w:tc>
          <w:tcPr>
            <w:tcW w:w="9072" w:type="dxa"/>
          </w:tcPr>
          <w:p w:rsidR="00A92DC5" w:rsidRDefault="00A92DC5">
            <w:pPr>
              <w:rPr>
                <w:rFonts w:ascii="Arial" w:hAnsi="Arial"/>
                <w:sz w:val="18"/>
                <w:lang w:eastAsia="en-US"/>
              </w:rPr>
            </w:pPr>
            <w:r>
              <w:rPr>
                <w:rFonts w:ascii="Arial" w:hAnsi="Arial"/>
                <w:sz w:val="18"/>
              </w:rPr>
              <w:t xml:space="preserve">The application area is located within the Hamersley subregion of the Pilbara Interim </w:t>
            </w:r>
            <w:proofErr w:type="spellStart"/>
            <w:r>
              <w:rPr>
                <w:rFonts w:ascii="Arial" w:hAnsi="Arial"/>
                <w:sz w:val="18"/>
              </w:rPr>
              <w:t>Biogeographic</w:t>
            </w:r>
            <w:proofErr w:type="spellEnd"/>
            <w:r>
              <w:rPr>
                <w:rFonts w:ascii="Arial" w:hAnsi="Arial"/>
                <w:sz w:val="18"/>
              </w:rPr>
              <w:t xml:space="preserve"> Regionalisation for Australia (IBRA) bioregion which encompasses an area of 17,804,164 hectares (GIS database). The Hamersley subregion is characterised by sedimentary ranges and plateaux, dissected gorges, low Mulga woodlands over bunch grasses in valley floors and </w:t>
            </w:r>
            <w:r w:rsidRPr="00A92DC5">
              <w:rPr>
                <w:rFonts w:ascii="Arial" w:hAnsi="Arial"/>
                <w:i/>
                <w:sz w:val="18"/>
              </w:rPr>
              <w:t xml:space="preserve">Eucalyptus </w:t>
            </w:r>
            <w:r>
              <w:rPr>
                <w:rFonts w:ascii="Arial" w:hAnsi="Arial"/>
                <w:sz w:val="18"/>
              </w:rPr>
              <w:t xml:space="preserve">woodlands over </w:t>
            </w:r>
            <w:proofErr w:type="spellStart"/>
            <w:r w:rsidRPr="00A92DC5">
              <w:rPr>
                <w:rFonts w:ascii="Arial" w:hAnsi="Arial"/>
                <w:i/>
                <w:sz w:val="18"/>
              </w:rPr>
              <w:t>Triodia</w:t>
            </w:r>
            <w:proofErr w:type="spellEnd"/>
            <w:r>
              <w:rPr>
                <w:rFonts w:ascii="Arial" w:hAnsi="Arial"/>
                <w:sz w:val="18"/>
              </w:rPr>
              <w:t xml:space="preserve"> spp. on skeletal soils of the ranges (Kendrick, 2001).  The vegetation of the application area </w:t>
            </w:r>
            <w:proofErr w:type="gramStart"/>
            <w:r>
              <w:rPr>
                <w:rFonts w:ascii="Arial" w:hAnsi="Arial"/>
                <w:sz w:val="18"/>
              </w:rPr>
              <w:t>consists  of</w:t>
            </w:r>
            <w:proofErr w:type="gramEnd"/>
            <w:r>
              <w:rPr>
                <w:rFonts w:ascii="Arial" w:hAnsi="Arial"/>
                <w:sz w:val="18"/>
              </w:rPr>
              <w:t xml:space="preserve"> Beard Vegetation Association 181 which is common and widespread throughout this region, with approximately 100% of the pre-European vegetation remaining (Shepherd, 2007). </w:t>
            </w:r>
          </w:p>
          <w:p w:rsidR="00A92DC5" w:rsidRDefault="00A92DC5">
            <w:pPr>
              <w:rPr>
                <w:rFonts w:ascii="Arial" w:hAnsi="Arial"/>
                <w:sz w:val="18"/>
              </w:rPr>
            </w:pPr>
          </w:p>
          <w:p w:rsidR="00A92DC5" w:rsidRDefault="00A92DC5">
            <w:pPr>
              <w:rPr>
                <w:rFonts w:ascii="Arial" w:hAnsi="Arial"/>
                <w:sz w:val="18"/>
              </w:rPr>
            </w:pPr>
            <w:r>
              <w:rPr>
                <w:rFonts w:ascii="Arial" w:hAnsi="Arial"/>
                <w:sz w:val="18"/>
              </w:rPr>
              <w:t xml:space="preserve">The application area is situated within the Paraburdoo mine site which has been significantly degraded by past and present mining activities.  The application area adjoins the Paraburdoo 11 West Waste Dump. A flora and vegetation survey by botanists from Pilbara Iron recorded a total of 78 flora species from 29 families (Keith Lindbeck and Associates, 2007a).  Two weed species, </w:t>
            </w:r>
            <w:proofErr w:type="spellStart"/>
            <w:r>
              <w:rPr>
                <w:rFonts w:ascii="Arial" w:hAnsi="Arial"/>
                <w:sz w:val="18"/>
              </w:rPr>
              <w:t>Buffel</w:t>
            </w:r>
            <w:proofErr w:type="spellEnd"/>
            <w:r>
              <w:rPr>
                <w:rFonts w:ascii="Arial" w:hAnsi="Arial"/>
                <w:sz w:val="18"/>
              </w:rPr>
              <w:t xml:space="preserve"> Grass (</w:t>
            </w:r>
            <w:proofErr w:type="spellStart"/>
            <w:r>
              <w:rPr>
                <w:rFonts w:ascii="Arial" w:hAnsi="Arial"/>
                <w:i/>
                <w:sz w:val="18"/>
              </w:rPr>
              <w:t>Cenchrus</w:t>
            </w:r>
            <w:proofErr w:type="spellEnd"/>
            <w:r>
              <w:rPr>
                <w:rFonts w:ascii="Arial" w:hAnsi="Arial"/>
                <w:i/>
                <w:sz w:val="18"/>
              </w:rPr>
              <w:t xml:space="preserve"> </w:t>
            </w:r>
            <w:proofErr w:type="spellStart"/>
            <w:r>
              <w:rPr>
                <w:rFonts w:ascii="Arial" w:hAnsi="Arial"/>
                <w:i/>
                <w:sz w:val="18"/>
              </w:rPr>
              <w:t>ciliaris</w:t>
            </w:r>
            <w:proofErr w:type="spellEnd"/>
            <w:r>
              <w:rPr>
                <w:rFonts w:ascii="Arial" w:hAnsi="Arial"/>
                <w:sz w:val="18"/>
              </w:rPr>
              <w:t>) and Kapok Bush (</w:t>
            </w:r>
            <w:proofErr w:type="spellStart"/>
            <w:r>
              <w:rPr>
                <w:rFonts w:ascii="Arial" w:hAnsi="Arial"/>
                <w:i/>
                <w:sz w:val="18"/>
              </w:rPr>
              <w:t>Aerva</w:t>
            </w:r>
            <w:proofErr w:type="spellEnd"/>
            <w:r>
              <w:rPr>
                <w:rFonts w:ascii="Arial" w:hAnsi="Arial"/>
                <w:i/>
                <w:sz w:val="18"/>
              </w:rPr>
              <w:t xml:space="preserve"> </w:t>
            </w:r>
            <w:proofErr w:type="spellStart"/>
            <w:r>
              <w:rPr>
                <w:rFonts w:ascii="Arial" w:hAnsi="Arial"/>
                <w:i/>
                <w:sz w:val="18"/>
              </w:rPr>
              <w:t>javanica</w:t>
            </w:r>
            <w:proofErr w:type="spellEnd"/>
            <w:r>
              <w:rPr>
                <w:rFonts w:ascii="Arial" w:hAnsi="Arial"/>
                <w:sz w:val="18"/>
              </w:rPr>
              <w:t xml:space="preserve">), were located on disturbed areas (Keith Lindbeck and Associates, 2007a).  </w:t>
            </w:r>
          </w:p>
          <w:p w:rsidR="00A92DC5" w:rsidRDefault="00A92DC5">
            <w:pPr>
              <w:rPr>
                <w:rFonts w:ascii="Arial" w:hAnsi="Arial"/>
                <w:sz w:val="18"/>
              </w:rPr>
            </w:pPr>
          </w:p>
          <w:p w:rsidR="00A92DC5" w:rsidRDefault="00A92DC5">
            <w:pPr>
              <w:rPr>
                <w:rFonts w:ascii="Arial" w:hAnsi="Arial"/>
                <w:sz w:val="18"/>
              </w:rPr>
            </w:pPr>
            <w:r>
              <w:rPr>
                <w:rFonts w:ascii="Arial" w:hAnsi="Arial"/>
                <w:sz w:val="18"/>
              </w:rPr>
              <w:t>Photographs of the application area show the vegetation condition to be good with slight impacts on vegetation growth from mining activities. The vegetation communities within the application area are not likely to be considered as rare, geographically restricted or of significant conservation value (Keith Lindbeck and Associates, 2007a).  The vegetation communities and potential fauna habitats within the application area are considered common within the Pilbara region, and are unlikely to be of higher biodiversity than the surrounding areas.  The proposed clearing is unlikely to have a significant impact on the biological diversity of the local area or region.</w:t>
            </w:r>
          </w:p>
          <w:p w:rsidR="00A92DC5" w:rsidRDefault="00A92DC5">
            <w:pPr>
              <w:rPr>
                <w:rFonts w:ascii="Arial" w:hAnsi="Arial"/>
                <w:sz w:val="18"/>
              </w:rPr>
            </w:pPr>
          </w:p>
          <w:p w:rsidR="00A92DC5" w:rsidRDefault="00A92DC5">
            <w:pPr>
              <w:rPr>
                <w:rFonts w:ascii="Arial" w:hAnsi="Arial"/>
                <w:sz w:val="18"/>
              </w:rPr>
            </w:pPr>
            <w:r>
              <w:rPr>
                <w:rFonts w:ascii="Arial" w:hAnsi="Arial"/>
                <w:sz w:val="18"/>
              </w:rPr>
              <w:t>Based on the above, the proposed clearing is not likely to be at variance to this Principle.</w:t>
            </w:r>
          </w:p>
          <w:p w:rsidR="00A92DC5" w:rsidRDefault="00A92DC5">
            <w:pPr>
              <w:pStyle w:val="table"/>
              <w:keepLines/>
              <w:tabs>
                <w:tab w:val="clear" w:pos="426"/>
                <w:tab w:val="left" w:pos="2552"/>
              </w:tabs>
            </w:pPr>
          </w:p>
        </w:tc>
      </w:tr>
      <w:tr w:rsidR="00D12AB0">
        <w:tc>
          <w:tcPr>
            <w:tcW w:w="1242" w:type="dxa"/>
          </w:tcPr>
          <w:p w:rsidR="00D12AB0" w:rsidRDefault="00D12AB0">
            <w:pPr>
              <w:pStyle w:val="table"/>
              <w:keepLines/>
              <w:tabs>
                <w:tab w:val="clear" w:pos="426"/>
                <w:tab w:val="left" w:pos="2552"/>
              </w:tabs>
              <w:rPr>
                <w:b/>
                <w:sz w:val="16"/>
              </w:rPr>
            </w:pPr>
            <w:r>
              <w:rPr>
                <w:b/>
                <w:sz w:val="16"/>
              </w:rPr>
              <w:t>Methodology</w:t>
            </w:r>
          </w:p>
        </w:tc>
        <w:tc>
          <w:tcPr>
            <w:tcW w:w="9072" w:type="dxa"/>
          </w:tcPr>
          <w:p w:rsidR="008F0889" w:rsidRDefault="008F0889">
            <w:pPr>
              <w:pStyle w:val="table"/>
              <w:keepLines/>
              <w:tabs>
                <w:tab w:val="clear" w:pos="426"/>
                <w:tab w:val="left" w:pos="2552"/>
              </w:tabs>
            </w:pPr>
            <w:r>
              <w:t>Keith Lindbeck and Associates (2007a)</w:t>
            </w:r>
          </w:p>
          <w:p w:rsidR="008F0889" w:rsidRDefault="008F0889">
            <w:pPr>
              <w:pStyle w:val="table"/>
              <w:keepLines/>
              <w:tabs>
                <w:tab w:val="clear" w:pos="426"/>
                <w:tab w:val="left" w:pos="2552"/>
              </w:tabs>
            </w:pPr>
            <w:r>
              <w:t>Kendrick (2001)</w:t>
            </w:r>
          </w:p>
          <w:p w:rsidR="008F0889" w:rsidRDefault="008F0889">
            <w:pPr>
              <w:pStyle w:val="table"/>
              <w:keepLines/>
              <w:tabs>
                <w:tab w:val="clear" w:pos="426"/>
                <w:tab w:val="left" w:pos="2552"/>
              </w:tabs>
            </w:pPr>
            <w:r>
              <w:t>Shepherd (2007)</w:t>
            </w:r>
          </w:p>
          <w:p w:rsidR="008F0889" w:rsidRDefault="008F0889">
            <w:pPr>
              <w:pStyle w:val="table"/>
              <w:keepLines/>
              <w:tabs>
                <w:tab w:val="clear" w:pos="426"/>
                <w:tab w:val="left" w:pos="2552"/>
              </w:tabs>
            </w:pPr>
            <w:r>
              <w:t>GIS Database:</w:t>
            </w:r>
          </w:p>
          <w:p w:rsidR="008F0889" w:rsidRDefault="008F0889">
            <w:pPr>
              <w:pStyle w:val="table"/>
              <w:keepLines/>
              <w:tabs>
                <w:tab w:val="clear" w:pos="426"/>
                <w:tab w:val="left" w:pos="2552"/>
              </w:tabs>
            </w:pPr>
            <w:r>
              <w:t xml:space="preserve">-  </w:t>
            </w:r>
            <w:r w:rsidR="00166213" w:rsidRPr="00166213">
              <w:t>IBRA Australia</w:t>
            </w:r>
          </w:p>
          <w:p w:rsidR="00D12AB0" w:rsidRDefault="008F0889">
            <w:pPr>
              <w:pStyle w:val="table"/>
              <w:keepLines/>
              <w:tabs>
                <w:tab w:val="clear" w:pos="426"/>
                <w:tab w:val="left" w:pos="2552"/>
              </w:tabs>
            </w:pPr>
            <w:r>
              <w:t xml:space="preserve">-  </w:t>
            </w:r>
            <w:r w:rsidR="00166213" w:rsidRPr="00166213">
              <w:t>IBRA WA (Regions - Sub Regions)</w:t>
            </w:r>
          </w:p>
        </w:tc>
      </w:tr>
    </w:tbl>
    <w:p w:rsidR="00D12AB0" w:rsidRDefault="00D12AB0">
      <w:pPr>
        <w:rPr>
          <w:sz w:val="10"/>
        </w:rPr>
      </w:pPr>
    </w:p>
    <w:p w:rsidR="00D12AB0" w:rsidRDefault="00D12AB0">
      <w:pPr>
        <w:pStyle w:val="Heading4"/>
        <w:numPr>
          <w:ilvl w:val="0"/>
          <w:numId w:val="3"/>
        </w:numPr>
        <w:shd w:val="pct10" w:color="auto" w:fill="FFFFFF"/>
      </w:pPr>
      <w:r>
        <w:t xml:space="preserve">Native vegetation should not be cleared if it comprises the whole or a part of, or is necessary for the maintenance of, a significant habitat for fauna indigenous to </w:t>
      </w:r>
      <w:smartTag w:uri="urn:schemas-microsoft-com:office:smarttags" w:element="State">
        <w:smartTag w:uri="urn:schemas-microsoft-com:office:smarttags" w:element="place">
          <w:r>
            <w:t>Western Australia</w:t>
          </w:r>
        </w:smartTag>
      </w:smartTag>
      <w:r>
        <w:t>.</w:t>
      </w:r>
    </w:p>
    <w:tbl>
      <w:tblPr>
        <w:tblW w:w="0" w:type="auto"/>
        <w:tblLayout w:type="fixed"/>
        <w:tblLook w:val="0000"/>
      </w:tblPr>
      <w:tblGrid>
        <w:gridCol w:w="1242"/>
        <w:gridCol w:w="9072"/>
      </w:tblGrid>
      <w:tr w:rsidR="00D12AB0">
        <w:tc>
          <w:tcPr>
            <w:tcW w:w="1242" w:type="dxa"/>
          </w:tcPr>
          <w:p w:rsidR="00D12AB0" w:rsidRDefault="00D12AB0">
            <w:pPr>
              <w:pStyle w:val="table"/>
              <w:keepNext/>
              <w:tabs>
                <w:tab w:val="clear" w:pos="426"/>
                <w:tab w:val="left" w:pos="2552"/>
              </w:tabs>
              <w:rPr>
                <w:b/>
                <w:sz w:val="16"/>
              </w:rPr>
            </w:pPr>
            <w:r>
              <w:rPr>
                <w:b/>
                <w:sz w:val="16"/>
              </w:rPr>
              <w:t>Comments</w:t>
            </w:r>
          </w:p>
        </w:tc>
        <w:tc>
          <w:tcPr>
            <w:tcW w:w="9072" w:type="dxa"/>
          </w:tcPr>
          <w:p w:rsidR="00D12AB0" w:rsidRDefault="008F0889">
            <w:pPr>
              <w:pStyle w:val="Heading8"/>
              <w:rPr>
                <w:i/>
                <w:sz w:val="18"/>
              </w:rPr>
            </w:pPr>
            <w:r>
              <w:t>Proposal is not likely to be at variance to this Principle</w:t>
            </w:r>
          </w:p>
        </w:tc>
      </w:tr>
      <w:tr w:rsidR="00D12AB0">
        <w:tc>
          <w:tcPr>
            <w:tcW w:w="1242" w:type="dxa"/>
          </w:tcPr>
          <w:p w:rsidR="00D12AB0" w:rsidRDefault="00D12AB0">
            <w:pPr>
              <w:pStyle w:val="table"/>
              <w:tabs>
                <w:tab w:val="clear" w:pos="426"/>
                <w:tab w:val="left" w:pos="2552"/>
              </w:tabs>
              <w:rPr>
                <w:b/>
                <w:sz w:val="16"/>
              </w:rPr>
            </w:pPr>
          </w:p>
        </w:tc>
        <w:tc>
          <w:tcPr>
            <w:tcW w:w="9072" w:type="dxa"/>
          </w:tcPr>
          <w:p w:rsidR="002B4ED6" w:rsidRDefault="002B4ED6" w:rsidP="002B4ED6">
            <w:pPr>
              <w:rPr>
                <w:rFonts w:ascii="Arial" w:hAnsi="Arial"/>
                <w:sz w:val="18"/>
                <w:lang w:eastAsia="en-US"/>
              </w:rPr>
            </w:pPr>
            <w:r>
              <w:rPr>
                <w:rFonts w:ascii="Arial" w:hAnsi="Arial"/>
                <w:sz w:val="18"/>
              </w:rPr>
              <w:t>A rare and priority fauna search from the Department of Environment and Conservation’s (DEC) Threatened Fauna Database was undertaken for the Tom Price region that included the application area (Keith Lindbeck and Associates, 2007a).  A search was conducted using the Department of Environment and Water Resources' Protected Matters Search Tool to identify species listed under the Environmental Protection and Biodiversity Conservation Act 1999 which may potentially occur within the application area (Keith Lindbeck and Associates, 2007a; Keith Lindbeck and Associates, 2007b).  The review concluded that seven species of conservation significance could potentially occur within the application area (Keith Lindbeck and Associates, 2007a; Keith Lindbeck and Associates, 2007b).  These are:</w:t>
            </w:r>
          </w:p>
          <w:p w:rsidR="002B4ED6" w:rsidRDefault="002B4ED6" w:rsidP="002B4ED6">
            <w:pPr>
              <w:rPr>
                <w:rFonts w:ascii="Arial" w:hAnsi="Arial"/>
                <w:sz w:val="18"/>
              </w:rPr>
            </w:pPr>
          </w:p>
          <w:p w:rsidR="002B4ED6" w:rsidRDefault="002B4ED6" w:rsidP="002B4ED6">
            <w:pPr>
              <w:numPr>
                <w:ilvl w:val="0"/>
                <w:numId w:val="7"/>
              </w:numPr>
              <w:rPr>
                <w:rFonts w:ascii="Arial" w:hAnsi="Arial"/>
                <w:sz w:val="18"/>
              </w:rPr>
            </w:pPr>
            <w:r>
              <w:rPr>
                <w:rFonts w:ascii="Arial" w:hAnsi="Arial"/>
                <w:sz w:val="18"/>
              </w:rPr>
              <w:t>Orange Leaf-nosed Bat (</w:t>
            </w:r>
            <w:proofErr w:type="spellStart"/>
            <w:r>
              <w:rPr>
                <w:rFonts w:ascii="Arial" w:hAnsi="Arial"/>
                <w:i/>
                <w:sz w:val="18"/>
              </w:rPr>
              <w:t>Rhinonicteris</w:t>
            </w:r>
            <w:proofErr w:type="spellEnd"/>
            <w:r>
              <w:rPr>
                <w:rFonts w:ascii="Arial" w:hAnsi="Arial"/>
                <w:i/>
                <w:sz w:val="18"/>
              </w:rPr>
              <w:t xml:space="preserve"> </w:t>
            </w:r>
            <w:proofErr w:type="spellStart"/>
            <w:r>
              <w:rPr>
                <w:rFonts w:ascii="Arial" w:hAnsi="Arial"/>
                <w:i/>
                <w:sz w:val="18"/>
              </w:rPr>
              <w:t>aurantius</w:t>
            </w:r>
            <w:proofErr w:type="spellEnd"/>
            <w:r>
              <w:rPr>
                <w:rFonts w:ascii="Arial" w:hAnsi="Arial"/>
                <w:sz w:val="18"/>
              </w:rPr>
              <w:t>), listed under Schedule 1 (Fauna that is rare or is likely to become extinct) of the Wildlife Conservation (Specially Protected Fauna) Notice 2008;</w:t>
            </w:r>
          </w:p>
          <w:p w:rsidR="002B4ED6" w:rsidRDefault="002B4ED6" w:rsidP="002B4ED6">
            <w:pPr>
              <w:numPr>
                <w:ilvl w:val="0"/>
                <w:numId w:val="7"/>
              </w:numPr>
              <w:rPr>
                <w:rFonts w:ascii="Arial" w:hAnsi="Arial"/>
                <w:sz w:val="18"/>
              </w:rPr>
            </w:pPr>
            <w:r>
              <w:rPr>
                <w:rFonts w:ascii="Arial" w:hAnsi="Arial"/>
                <w:sz w:val="18"/>
              </w:rPr>
              <w:t>Pilbara Olive Python (</w:t>
            </w:r>
            <w:proofErr w:type="spellStart"/>
            <w:r>
              <w:rPr>
                <w:rFonts w:ascii="Arial" w:hAnsi="Arial"/>
                <w:i/>
                <w:sz w:val="18"/>
              </w:rPr>
              <w:t>Liasis</w:t>
            </w:r>
            <w:proofErr w:type="spellEnd"/>
            <w:r>
              <w:rPr>
                <w:rFonts w:ascii="Arial" w:hAnsi="Arial"/>
                <w:i/>
                <w:sz w:val="18"/>
              </w:rPr>
              <w:t xml:space="preserve"> </w:t>
            </w:r>
            <w:proofErr w:type="spellStart"/>
            <w:r>
              <w:rPr>
                <w:rFonts w:ascii="Arial" w:hAnsi="Arial"/>
                <w:i/>
                <w:sz w:val="18"/>
              </w:rPr>
              <w:t>olivaceus</w:t>
            </w:r>
            <w:proofErr w:type="spellEnd"/>
            <w:r>
              <w:rPr>
                <w:rFonts w:ascii="Arial" w:hAnsi="Arial"/>
                <w:i/>
                <w:sz w:val="18"/>
              </w:rPr>
              <w:t xml:space="preserve"> </w:t>
            </w:r>
            <w:proofErr w:type="spellStart"/>
            <w:r>
              <w:rPr>
                <w:rFonts w:ascii="Arial" w:hAnsi="Arial"/>
                <w:i/>
                <w:sz w:val="18"/>
              </w:rPr>
              <w:t>barroni</w:t>
            </w:r>
            <w:proofErr w:type="spellEnd"/>
            <w:r>
              <w:rPr>
                <w:rFonts w:ascii="Arial" w:hAnsi="Arial"/>
                <w:sz w:val="18"/>
              </w:rPr>
              <w:t>), listed under Schedule 1 (Fauna that is rare or is likely to become extinct) of the Wildlife Conservation (Specially Protected Fauna) Notice 2008;</w:t>
            </w:r>
          </w:p>
          <w:p w:rsidR="002B4ED6" w:rsidRDefault="002B4ED6" w:rsidP="002B4ED6">
            <w:pPr>
              <w:numPr>
                <w:ilvl w:val="0"/>
                <w:numId w:val="7"/>
              </w:numPr>
              <w:rPr>
                <w:rFonts w:ascii="Arial" w:hAnsi="Arial"/>
                <w:sz w:val="18"/>
              </w:rPr>
            </w:pPr>
            <w:r>
              <w:rPr>
                <w:rFonts w:ascii="Arial" w:hAnsi="Arial"/>
                <w:sz w:val="18"/>
              </w:rPr>
              <w:t>Peregrine Falcon (</w:t>
            </w:r>
            <w:proofErr w:type="spellStart"/>
            <w:r>
              <w:rPr>
                <w:rFonts w:ascii="Arial" w:hAnsi="Arial"/>
                <w:i/>
                <w:sz w:val="18"/>
              </w:rPr>
              <w:t>Falco</w:t>
            </w:r>
            <w:proofErr w:type="spellEnd"/>
            <w:r>
              <w:rPr>
                <w:rFonts w:ascii="Arial" w:hAnsi="Arial"/>
                <w:i/>
                <w:sz w:val="18"/>
              </w:rPr>
              <w:t xml:space="preserve"> </w:t>
            </w:r>
            <w:proofErr w:type="spellStart"/>
            <w:r>
              <w:rPr>
                <w:rFonts w:ascii="Arial" w:hAnsi="Arial"/>
                <w:i/>
                <w:sz w:val="18"/>
              </w:rPr>
              <w:t>peregrinus</w:t>
            </w:r>
            <w:proofErr w:type="spellEnd"/>
            <w:r>
              <w:rPr>
                <w:rFonts w:ascii="Arial" w:hAnsi="Arial"/>
                <w:sz w:val="18"/>
              </w:rPr>
              <w:t>), listed under Schedule 4 (Other specially protected fauna) of the Wildlife Conservation (Specially Protected Fauna) Notice 2008;</w:t>
            </w:r>
          </w:p>
          <w:p w:rsidR="002B4ED6" w:rsidRDefault="002B4ED6" w:rsidP="002B4ED6">
            <w:pPr>
              <w:numPr>
                <w:ilvl w:val="0"/>
                <w:numId w:val="7"/>
              </w:numPr>
              <w:rPr>
                <w:rFonts w:ascii="Arial" w:hAnsi="Arial"/>
                <w:sz w:val="18"/>
              </w:rPr>
            </w:pPr>
            <w:r>
              <w:rPr>
                <w:rFonts w:ascii="Arial" w:hAnsi="Arial"/>
                <w:sz w:val="18"/>
              </w:rPr>
              <w:t>Western Pebble-mound Mouse (</w:t>
            </w:r>
            <w:proofErr w:type="spellStart"/>
            <w:r>
              <w:rPr>
                <w:rFonts w:ascii="Arial" w:hAnsi="Arial"/>
                <w:i/>
                <w:sz w:val="18"/>
              </w:rPr>
              <w:t>Pseudomys</w:t>
            </w:r>
            <w:proofErr w:type="spellEnd"/>
            <w:r>
              <w:rPr>
                <w:rFonts w:ascii="Arial" w:hAnsi="Arial"/>
                <w:i/>
                <w:sz w:val="18"/>
              </w:rPr>
              <w:t xml:space="preserve"> </w:t>
            </w:r>
            <w:proofErr w:type="spellStart"/>
            <w:r>
              <w:rPr>
                <w:rFonts w:ascii="Arial" w:hAnsi="Arial"/>
                <w:i/>
                <w:sz w:val="18"/>
              </w:rPr>
              <w:t>chapmani</w:t>
            </w:r>
            <w:proofErr w:type="spellEnd"/>
            <w:r>
              <w:rPr>
                <w:rFonts w:ascii="Arial" w:hAnsi="Arial"/>
                <w:sz w:val="18"/>
              </w:rPr>
              <w:t>), Priority 4 on the Department of Environment and Conservation (DEC) Priority Fauna List;</w:t>
            </w:r>
          </w:p>
          <w:p w:rsidR="002B4ED6" w:rsidRDefault="002B4ED6" w:rsidP="002B4ED6">
            <w:pPr>
              <w:numPr>
                <w:ilvl w:val="0"/>
                <w:numId w:val="7"/>
              </w:numPr>
              <w:rPr>
                <w:rFonts w:ascii="Arial" w:hAnsi="Arial"/>
                <w:sz w:val="18"/>
              </w:rPr>
            </w:pPr>
            <w:r>
              <w:rPr>
                <w:rFonts w:ascii="Arial" w:hAnsi="Arial"/>
                <w:sz w:val="18"/>
              </w:rPr>
              <w:t>Lakeland Downs Mouse (</w:t>
            </w:r>
            <w:proofErr w:type="spellStart"/>
            <w:r>
              <w:rPr>
                <w:rFonts w:ascii="Arial" w:hAnsi="Arial"/>
                <w:i/>
                <w:sz w:val="18"/>
              </w:rPr>
              <w:t>Leggadina</w:t>
            </w:r>
            <w:proofErr w:type="spellEnd"/>
            <w:r>
              <w:rPr>
                <w:rFonts w:ascii="Arial" w:hAnsi="Arial"/>
                <w:i/>
                <w:sz w:val="18"/>
              </w:rPr>
              <w:t xml:space="preserve"> </w:t>
            </w:r>
            <w:proofErr w:type="spellStart"/>
            <w:r>
              <w:rPr>
                <w:rFonts w:ascii="Arial" w:hAnsi="Arial"/>
                <w:i/>
                <w:sz w:val="18"/>
              </w:rPr>
              <w:t>lakedownensis</w:t>
            </w:r>
            <w:proofErr w:type="spellEnd"/>
            <w:r>
              <w:rPr>
                <w:rFonts w:ascii="Arial" w:hAnsi="Arial"/>
                <w:sz w:val="18"/>
              </w:rPr>
              <w:t>), Priority 4 on the DEC Priority Fauna List;</w:t>
            </w:r>
          </w:p>
          <w:p w:rsidR="002B4ED6" w:rsidRDefault="002B4ED6" w:rsidP="002B4ED6">
            <w:pPr>
              <w:numPr>
                <w:ilvl w:val="0"/>
                <w:numId w:val="7"/>
              </w:numPr>
              <w:rPr>
                <w:rFonts w:ascii="Arial" w:hAnsi="Arial"/>
                <w:sz w:val="18"/>
              </w:rPr>
            </w:pPr>
            <w:r>
              <w:rPr>
                <w:rFonts w:ascii="Arial" w:hAnsi="Arial"/>
                <w:sz w:val="18"/>
              </w:rPr>
              <w:t>Ghost Bat (</w:t>
            </w:r>
            <w:proofErr w:type="spellStart"/>
            <w:r>
              <w:rPr>
                <w:rFonts w:ascii="Arial" w:hAnsi="Arial"/>
                <w:sz w:val="18"/>
              </w:rPr>
              <w:t>Macroderma</w:t>
            </w:r>
            <w:proofErr w:type="spellEnd"/>
            <w:r>
              <w:rPr>
                <w:rFonts w:ascii="Arial" w:hAnsi="Arial"/>
                <w:sz w:val="18"/>
              </w:rPr>
              <w:t xml:space="preserve"> </w:t>
            </w:r>
            <w:proofErr w:type="spellStart"/>
            <w:r>
              <w:rPr>
                <w:rFonts w:ascii="Arial" w:hAnsi="Arial"/>
                <w:sz w:val="18"/>
              </w:rPr>
              <w:t>gigas</w:t>
            </w:r>
            <w:proofErr w:type="spellEnd"/>
            <w:r>
              <w:rPr>
                <w:rFonts w:ascii="Arial" w:hAnsi="Arial"/>
                <w:sz w:val="18"/>
              </w:rPr>
              <w:t>), Priority 4 on the DEC Priority Fauna List; and</w:t>
            </w:r>
          </w:p>
          <w:p w:rsidR="002B4ED6" w:rsidRDefault="002B4ED6" w:rsidP="002B4ED6">
            <w:pPr>
              <w:numPr>
                <w:ilvl w:val="0"/>
                <w:numId w:val="7"/>
              </w:numPr>
              <w:rPr>
                <w:rFonts w:ascii="Arial" w:hAnsi="Arial"/>
                <w:sz w:val="18"/>
              </w:rPr>
            </w:pPr>
            <w:r>
              <w:rPr>
                <w:rFonts w:ascii="Arial" w:hAnsi="Arial"/>
                <w:sz w:val="18"/>
              </w:rPr>
              <w:t>Australian Bustard (</w:t>
            </w:r>
            <w:proofErr w:type="spellStart"/>
            <w:r>
              <w:rPr>
                <w:rFonts w:ascii="Arial" w:hAnsi="Arial"/>
                <w:i/>
                <w:sz w:val="18"/>
              </w:rPr>
              <w:t>Ardeotis</w:t>
            </w:r>
            <w:proofErr w:type="spellEnd"/>
            <w:r>
              <w:rPr>
                <w:rFonts w:ascii="Arial" w:hAnsi="Arial"/>
                <w:i/>
                <w:sz w:val="18"/>
              </w:rPr>
              <w:t xml:space="preserve"> </w:t>
            </w:r>
            <w:proofErr w:type="spellStart"/>
            <w:r>
              <w:rPr>
                <w:rFonts w:ascii="Arial" w:hAnsi="Arial"/>
                <w:i/>
                <w:sz w:val="18"/>
              </w:rPr>
              <w:t>australis</w:t>
            </w:r>
            <w:proofErr w:type="spellEnd"/>
            <w:r>
              <w:rPr>
                <w:rFonts w:ascii="Arial" w:hAnsi="Arial"/>
                <w:sz w:val="18"/>
              </w:rPr>
              <w:t xml:space="preserve">), Priority 4 on the DEC Priority Fauna List (Keith Lindbeck and Associates, 2007a).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 xml:space="preserve">The Orange Leaf-nosed Bat is known to prefer warm humid caves for roosting, although some have been found in tree hollows.  Foraging habitats include grasslands, open </w:t>
            </w:r>
            <w:proofErr w:type="gramStart"/>
            <w:r>
              <w:rPr>
                <w:rFonts w:ascii="Arial" w:hAnsi="Arial"/>
                <w:sz w:val="18"/>
              </w:rPr>
              <w:t>woodlands,</w:t>
            </w:r>
            <w:proofErr w:type="gramEnd"/>
            <w:r>
              <w:rPr>
                <w:rFonts w:ascii="Arial" w:hAnsi="Arial"/>
                <w:sz w:val="18"/>
              </w:rPr>
              <w:t xml:space="preserve"> savannah woodlands and </w:t>
            </w:r>
            <w:proofErr w:type="spellStart"/>
            <w:r>
              <w:rPr>
                <w:rFonts w:ascii="Arial" w:hAnsi="Arial"/>
                <w:sz w:val="18"/>
              </w:rPr>
              <w:t>spinifex</w:t>
            </w:r>
            <w:proofErr w:type="spellEnd"/>
            <w:r>
              <w:rPr>
                <w:rFonts w:ascii="Arial" w:hAnsi="Arial"/>
                <w:sz w:val="18"/>
              </w:rPr>
              <w:t xml:space="preserve"> covered hills, although habitat use may be influenced by roost availability (Australian Museum Online 1999; EPA (Qld), 2006).  The species is known from less than 10 localities in the Pilbara and from one locality in the Gascoyne. No natural colony sites are known from the Pilbara (Environment Australia, 1999).  Known colonies in the Pilbara occupy abandoned, deep and partially flooded mines that trap pockets of warm, humid air in the mines constant temperature zone (Environment Australia, 1999).  The application area appears to lacks the presence of caves or hollows which provide suitable roosting habitat for this species and as a result, the species is unlikely to inhabit the area (Keith Lindbeck and Associates, 2007a).  It is unlikely that the vegetation within the application area would be regarded as significant habitat for this species.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 xml:space="preserve">The Pilbara Olive Python is known to occur throughout the Hamersley and </w:t>
            </w:r>
            <w:smartTag w:uri="urn:schemas-microsoft-com:office:smarttags" w:element="PlaceName">
              <w:r>
                <w:rPr>
                  <w:rFonts w:ascii="Arial" w:hAnsi="Arial"/>
                  <w:sz w:val="18"/>
                </w:rPr>
                <w:t>Chichester</w:t>
              </w:r>
            </w:smartTag>
            <w:r>
              <w:rPr>
                <w:rFonts w:ascii="Arial" w:hAnsi="Arial"/>
                <w:sz w:val="18"/>
              </w:rPr>
              <w:t xml:space="preserve"> </w:t>
            </w:r>
            <w:smartTag w:uri="urn:schemas-microsoft-com:office:smarttags" w:element="PlaceType">
              <w:r>
                <w:rPr>
                  <w:rFonts w:ascii="Arial" w:hAnsi="Arial"/>
                  <w:sz w:val="18"/>
                </w:rPr>
                <w:t>Ranges</w:t>
              </w:r>
            </w:smartTag>
            <w:r>
              <w:rPr>
                <w:rFonts w:ascii="Arial" w:hAnsi="Arial"/>
                <w:sz w:val="18"/>
              </w:rPr>
              <w:t xml:space="preserve">, parts of the </w:t>
            </w:r>
            <w:smartTag w:uri="urn:schemas-microsoft-com:office:smarttags" w:element="place">
              <w:r>
                <w:rPr>
                  <w:rFonts w:ascii="Arial" w:hAnsi="Arial"/>
                  <w:sz w:val="18"/>
                </w:rPr>
                <w:t>East Pilbara</w:t>
              </w:r>
            </w:smartTag>
            <w:r>
              <w:rPr>
                <w:rFonts w:ascii="Arial" w:hAnsi="Arial"/>
                <w:sz w:val="18"/>
              </w:rPr>
              <w:t xml:space="preserve"> and the Barlee Range Nature Reserve.  It is known to inhabit rocky areas near waterholes with caves, overhang ledges and crevasses that provide shelter (Keith Lindbeck and Associates, 2007b).  The application area appears to be devoid of rocky shelters, caves, ledges and vegetated waterholes (GIS Database; Keith Lindbeck and Associates, 2007a).  It is unlikely that the vegetation within the application area will provide significant habitat for the Pilbara Olive Python.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 xml:space="preserve">The Peregrine Falcon has a ubiquitous distribution throughout mainland </w:t>
            </w:r>
            <w:smartTag w:uri="urn:schemas-microsoft-com:office:smarttags" w:element="place">
              <w:smartTag w:uri="urn:schemas-microsoft-com:office:smarttags" w:element="country-region">
                <w:r>
                  <w:rPr>
                    <w:rFonts w:ascii="Arial" w:hAnsi="Arial"/>
                    <w:sz w:val="18"/>
                  </w:rPr>
                  <w:t>Australia</w:t>
                </w:r>
              </w:smartTag>
            </w:smartTag>
            <w:r>
              <w:rPr>
                <w:rFonts w:ascii="Arial" w:hAnsi="Arial"/>
                <w:sz w:val="18"/>
              </w:rPr>
              <w:t xml:space="preserve"> and inhabits a wide range of habitats including forest, woodlands, wetlands and open country (Keith Lindbeck and Associates, 2007b).  Kendrick (2001) states in the biodiversity audit of the Pilbara 3 - Hamersley subregion that the Peregrine Falcon is an uncommon resident, with very little data available regarding the species apart from occasional sightings. Given the widespread habitat and distribution of the Peregrine Falcon, the proposed clearing is unlikely to impact on significant habitat for this species.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 xml:space="preserve">The Western Pebble-mound Mouse is relatively widespread and abundant throughout much of the Pilbara 3 subregion, and parts of the Gascoyne (Kendrick, 2001; Keith Lindbeck and Associates, 2007b).  The species occurs on </w:t>
            </w:r>
            <w:proofErr w:type="spellStart"/>
            <w:r>
              <w:rPr>
                <w:rFonts w:ascii="Arial" w:hAnsi="Arial"/>
                <w:sz w:val="18"/>
              </w:rPr>
              <w:t>spinifex</w:t>
            </w:r>
            <w:proofErr w:type="spellEnd"/>
            <w:r>
              <w:rPr>
                <w:rFonts w:ascii="Arial" w:hAnsi="Arial"/>
                <w:sz w:val="18"/>
              </w:rPr>
              <w:t xml:space="preserve"> covered, gentle </w:t>
            </w:r>
            <w:proofErr w:type="spellStart"/>
            <w:r>
              <w:rPr>
                <w:rFonts w:ascii="Arial" w:hAnsi="Arial"/>
                <w:sz w:val="18"/>
              </w:rPr>
              <w:t>colluvial</w:t>
            </w:r>
            <w:proofErr w:type="spellEnd"/>
            <w:r>
              <w:rPr>
                <w:rFonts w:ascii="Arial" w:hAnsi="Arial"/>
                <w:sz w:val="18"/>
              </w:rPr>
              <w:t xml:space="preserve"> slopes with pebbles of size (approximately 70 grams) suitable for the transport and construction of pebble mounds (Keith Lindbeck and Associates, 2007b).  Within the application area, there appears to be a lack of undulating </w:t>
            </w:r>
            <w:proofErr w:type="spellStart"/>
            <w:r>
              <w:rPr>
                <w:rFonts w:ascii="Arial" w:hAnsi="Arial"/>
                <w:sz w:val="18"/>
              </w:rPr>
              <w:t>spinifex</w:t>
            </w:r>
            <w:proofErr w:type="spellEnd"/>
            <w:r>
              <w:rPr>
                <w:rFonts w:ascii="Arial" w:hAnsi="Arial"/>
                <w:sz w:val="18"/>
              </w:rPr>
              <w:t xml:space="preserve"> covered lower slopes with a pebble mantle that would provide significant habitat for the Western Pebble-mound mouse.  It is unlikely that the vegetation proposed to be cleared would be regarded as significant habitat for this species.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 xml:space="preserve">The Lakeland Downs Mouse is distributed across the Pilbara and Kimberley regions of Western Australia, and is known to occur on sandy soils and cracking clays that support grasslands (Keith Lindbeck and Associates, 2007b; Biota, 2004b).  The soils within the application area appear to consist of stony surfaces and mantles which are unlikely to provide suitable habitat for this species.  The proposed clearing is unlikely to impact on significant habitat for the Lakeland Down Mouse.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 xml:space="preserve">The Ghost Bat is known to show preference for large, deep caves, crevices and old underground mining workings (Australian Museum Online, 1999; Keith Lindbeck and Associates, 2007b).  The application area lacks the presence of caves, crevices or mine shafts which may provide suitable roosting habitat for this species and as a result, the species is unlikely to inhabit the area.  One of the main conservation threats to the Ghost Bat is the loss of feeding habitat by clearing.  The Ghost Bat preys on large insects, frogs, birds, lizards and small mammals including other bats.  They swoop on their prey and then fly to a feeding site to eat (Australian Museum Online, 1999).  The vegetation under application adjoins an operational waste dump and as a result has been impacted on by mining activities.  Similar and higher quality vegetation types are widespread throughout the surrounding region.  The proposed clearing is unlikely to significantly impact on habitat for the Ghost Bat.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 xml:space="preserve">The Australian Bustard is known to occur within open rangeland habitats such as </w:t>
            </w:r>
            <w:proofErr w:type="spellStart"/>
            <w:r>
              <w:rPr>
                <w:rFonts w:ascii="Arial" w:hAnsi="Arial"/>
                <w:sz w:val="18"/>
              </w:rPr>
              <w:t>Triodia</w:t>
            </w:r>
            <w:proofErr w:type="spellEnd"/>
            <w:r>
              <w:rPr>
                <w:rFonts w:ascii="Arial" w:hAnsi="Arial"/>
                <w:sz w:val="18"/>
              </w:rPr>
              <w:t xml:space="preserve"> hummock grassland, grassy woodland, </w:t>
            </w:r>
            <w:proofErr w:type="spellStart"/>
            <w:r>
              <w:rPr>
                <w:rFonts w:ascii="Arial" w:hAnsi="Arial"/>
                <w:sz w:val="18"/>
              </w:rPr>
              <w:t>sandplains</w:t>
            </w:r>
            <w:proofErr w:type="spellEnd"/>
            <w:r>
              <w:rPr>
                <w:rFonts w:ascii="Arial" w:hAnsi="Arial"/>
                <w:sz w:val="18"/>
              </w:rPr>
              <w:t xml:space="preserve"> with </w:t>
            </w:r>
            <w:proofErr w:type="spellStart"/>
            <w:r>
              <w:rPr>
                <w:rFonts w:ascii="Arial" w:hAnsi="Arial"/>
                <w:sz w:val="18"/>
              </w:rPr>
              <w:t>spinifex</w:t>
            </w:r>
            <w:proofErr w:type="spellEnd"/>
            <w:r>
              <w:rPr>
                <w:rFonts w:ascii="Arial" w:hAnsi="Arial"/>
                <w:sz w:val="18"/>
              </w:rPr>
              <w:t xml:space="preserve">, chenopod flats and low </w:t>
            </w:r>
            <w:proofErr w:type="spellStart"/>
            <w:r>
              <w:rPr>
                <w:rFonts w:ascii="Arial" w:hAnsi="Arial"/>
                <w:sz w:val="18"/>
              </w:rPr>
              <w:t>shrublands</w:t>
            </w:r>
            <w:proofErr w:type="spellEnd"/>
            <w:r>
              <w:rPr>
                <w:rFonts w:ascii="Arial" w:hAnsi="Arial"/>
                <w:sz w:val="18"/>
              </w:rPr>
              <w:t xml:space="preserve"> (Johnstone and </w:t>
            </w:r>
            <w:proofErr w:type="spellStart"/>
            <w:r>
              <w:rPr>
                <w:rFonts w:ascii="Arial" w:hAnsi="Arial"/>
                <w:sz w:val="18"/>
              </w:rPr>
              <w:t>Storr</w:t>
            </w:r>
            <w:proofErr w:type="spellEnd"/>
            <w:r>
              <w:rPr>
                <w:rFonts w:ascii="Arial" w:hAnsi="Arial"/>
                <w:sz w:val="18"/>
              </w:rPr>
              <w:t xml:space="preserve">, 1998).  During their breeding season the species can show preference for open grassland areas which border protective </w:t>
            </w:r>
            <w:proofErr w:type="spellStart"/>
            <w:r>
              <w:rPr>
                <w:rFonts w:ascii="Arial" w:hAnsi="Arial"/>
                <w:sz w:val="18"/>
              </w:rPr>
              <w:t>shrubland</w:t>
            </w:r>
            <w:proofErr w:type="spellEnd"/>
            <w:r>
              <w:rPr>
                <w:rFonts w:ascii="Arial" w:hAnsi="Arial"/>
                <w:sz w:val="18"/>
              </w:rPr>
              <w:t xml:space="preserve"> or woodlands (Australian Wildlife Conservancy, 2008).  The species is known to be nomadic, with irregular widespread movements over long distances (Johnstone and </w:t>
            </w:r>
            <w:proofErr w:type="spellStart"/>
            <w:r>
              <w:rPr>
                <w:rFonts w:ascii="Arial" w:hAnsi="Arial"/>
                <w:sz w:val="18"/>
              </w:rPr>
              <w:t>Storr</w:t>
            </w:r>
            <w:proofErr w:type="spellEnd"/>
            <w:r>
              <w:rPr>
                <w:rFonts w:ascii="Arial" w:hAnsi="Arial"/>
                <w:sz w:val="18"/>
              </w:rPr>
              <w:t xml:space="preserve">, 1998; Department of Environment and Climate Change NSW, 2008).  Descriptions of the vegetation types within the application area demonstrate that the majority of the vegetation types consist of Acacia open woodlands over </w:t>
            </w:r>
            <w:proofErr w:type="spellStart"/>
            <w:r>
              <w:rPr>
                <w:rFonts w:ascii="Arial" w:hAnsi="Arial"/>
                <w:sz w:val="18"/>
              </w:rPr>
              <w:t>Triodia</w:t>
            </w:r>
            <w:proofErr w:type="spellEnd"/>
            <w:r>
              <w:rPr>
                <w:rFonts w:ascii="Arial" w:hAnsi="Arial"/>
                <w:sz w:val="18"/>
              </w:rPr>
              <w:t xml:space="preserve"> and Tussock grasslands.  It is possible that the application area may provide suitable habitat for the Australian Bustard.  However, the vegetation type within the application is likely to be common and widespread throughout the Pilbara and not restricted to the application area (Shepherd</w:t>
            </w:r>
            <w:r w:rsidR="001C75D8">
              <w:rPr>
                <w:rFonts w:ascii="Arial" w:hAnsi="Arial"/>
                <w:sz w:val="18"/>
              </w:rPr>
              <w:t>,</w:t>
            </w:r>
            <w:r>
              <w:rPr>
                <w:rFonts w:ascii="Arial" w:hAnsi="Arial"/>
                <w:sz w:val="18"/>
              </w:rPr>
              <w:t xml:space="preserve"> </w:t>
            </w:r>
            <w:r w:rsidR="001C75D8">
              <w:rPr>
                <w:rFonts w:ascii="Arial" w:hAnsi="Arial"/>
                <w:sz w:val="18"/>
              </w:rPr>
              <w:t>2007</w:t>
            </w:r>
            <w:r>
              <w:rPr>
                <w:rFonts w:ascii="Arial" w:hAnsi="Arial"/>
                <w:sz w:val="18"/>
              </w:rPr>
              <w:t xml:space="preserve">).  Given the nomadic nature of the species and its ability to cover long distances, the proposed clearing is unlikely to impact on significant habitat for the Australian Bustard.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A number a migratory bird species that are protected under the CAMBA and JAMBA treaties (</w:t>
            </w:r>
            <w:smartTag w:uri="urn:schemas-microsoft-com:office:smarttags" w:element="country-region">
              <w:r>
                <w:rPr>
                  <w:rFonts w:ascii="Arial" w:hAnsi="Arial"/>
                  <w:sz w:val="18"/>
                </w:rPr>
                <w:t>China</w:t>
              </w:r>
            </w:smartTag>
            <w:r>
              <w:rPr>
                <w:rFonts w:ascii="Arial" w:hAnsi="Arial"/>
                <w:sz w:val="18"/>
              </w:rPr>
              <w:t xml:space="preserve"> and </w:t>
            </w:r>
            <w:smartTag w:uri="urn:schemas-microsoft-com:office:smarttags" w:element="place">
              <w:smartTag w:uri="urn:schemas-microsoft-com:office:smarttags" w:element="country-region">
                <w:r>
                  <w:rPr>
                    <w:rFonts w:ascii="Arial" w:hAnsi="Arial"/>
                    <w:sz w:val="18"/>
                  </w:rPr>
                  <w:t>Japan</w:t>
                </w:r>
              </w:smartTag>
            </w:smartTag>
            <w:r>
              <w:rPr>
                <w:rFonts w:ascii="Arial" w:hAnsi="Arial"/>
                <w:sz w:val="18"/>
              </w:rPr>
              <w:t>/ Australia Migratory Bird Agreements) may potentially occur within the application area.  These include the Rainbow Bee-eater (</w:t>
            </w:r>
            <w:proofErr w:type="spellStart"/>
            <w:r>
              <w:rPr>
                <w:rFonts w:ascii="Arial" w:hAnsi="Arial"/>
                <w:i/>
                <w:sz w:val="18"/>
              </w:rPr>
              <w:t>Merops</w:t>
            </w:r>
            <w:proofErr w:type="spellEnd"/>
            <w:r>
              <w:rPr>
                <w:rFonts w:ascii="Arial" w:hAnsi="Arial"/>
                <w:i/>
                <w:sz w:val="18"/>
              </w:rPr>
              <w:t xml:space="preserve"> </w:t>
            </w:r>
            <w:proofErr w:type="spellStart"/>
            <w:r>
              <w:rPr>
                <w:rFonts w:ascii="Arial" w:hAnsi="Arial"/>
                <w:i/>
                <w:sz w:val="18"/>
              </w:rPr>
              <w:t>ornatus</w:t>
            </w:r>
            <w:proofErr w:type="spellEnd"/>
            <w:r>
              <w:rPr>
                <w:rFonts w:ascii="Arial" w:hAnsi="Arial"/>
                <w:sz w:val="18"/>
              </w:rPr>
              <w:t>), Great Egret (</w:t>
            </w:r>
            <w:proofErr w:type="spellStart"/>
            <w:r>
              <w:rPr>
                <w:rFonts w:ascii="Arial" w:hAnsi="Arial"/>
                <w:i/>
                <w:sz w:val="18"/>
              </w:rPr>
              <w:t>Ardea</w:t>
            </w:r>
            <w:proofErr w:type="spellEnd"/>
            <w:r>
              <w:rPr>
                <w:rFonts w:ascii="Arial" w:hAnsi="Arial"/>
                <w:i/>
                <w:sz w:val="18"/>
              </w:rPr>
              <w:t xml:space="preserve"> alba</w:t>
            </w:r>
            <w:r>
              <w:rPr>
                <w:rFonts w:ascii="Arial" w:hAnsi="Arial"/>
                <w:sz w:val="18"/>
              </w:rPr>
              <w:t>), Cattle Egret (</w:t>
            </w:r>
            <w:proofErr w:type="spellStart"/>
            <w:r>
              <w:rPr>
                <w:rFonts w:ascii="Arial" w:hAnsi="Arial"/>
                <w:i/>
                <w:sz w:val="18"/>
              </w:rPr>
              <w:t>Ardea</w:t>
            </w:r>
            <w:proofErr w:type="spellEnd"/>
            <w:r>
              <w:rPr>
                <w:rFonts w:ascii="Arial" w:hAnsi="Arial"/>
                <w:i/>
                <w:sz w:val="18"/>
              </w:rPr>
              <w:t xml:space="preserve"> ibis</w:t>
            </w:r>
            <w:r>
              <w:rPr>
                <w:rFonts w:ascii="Arial" w:hAnsi="Arial"/>
                <w:sz w:val="18"/>
              </w:rPr>
              <w:t>), Oriental Plover (</w:t>
            </w:r>
            <w:proofErr w:type="spellStart"/>
            <w:r>
              <w:rPr>
                <w:rFonts w:ascii="Arial" w:hAnsi="Arial"/>
                <w:i/>
                <w:sz w:val="18"/>
              </w:rPr>
              <w:t>Charadrius</w:t>
            </w:r>
            <w:proofErr w:type="spellEnd"/>
            <w:r>
              <w:rPr>
                <w:rFonts w:ascii="Arial" w:hAnsi="Arial"/>
                <w:i/>
                <w:sz w:val="18"/>
              </w:rPr>
              <w:t xml:space="preserve"> </w:t>
            </w:r>
            <w:proofErr w:type="spellStart"/>
            <w:r>
              <w:rPr>
                <w:rFonts w:ascii="Arial" w:hAnsi="Arial"/>
                <w:i/>
                <w:sz w:val="18"/>
              </w:rPr>
              <w:t>veredus</w:t>
            </w:r>
            <w:proofErr w:type="spellEnd"/>
            <w:r>
              <w:rPr>
                <w:rFonts w:ascii="Arial" w:hAnsi="Arial"/>
                <w:sz w:val="18"/>
              </w:rPr>
              <w:t>) and Fork-tailed Swift (</w:t>
            </w:r>
            <w:proofErr w:type="spellStart"/>
            <w:r>
              <w:rPr>
                <w:rFonts w:ascii="Arial" w:hAnsi="Arial"/>
                <w:i/>
                <w:sz w:val="18"/>
              </w:rPr>
              <w:t>Apus</w:t>
            </w:r>
            <w:proofErr w:type="spellEnd"/>
            <w:r>
              <w:rPr>
                <w:rFonts w:ascii="Arial" w:hAnsi="Arial"/>
                <w:i/>
                <w:sz w:val="18"/>
              </w:rPr>
              <w:t xml:space="preserve"> </w:t>
            </w:r>
            <w:proofErr w:type="spellStart"/>
            <w:r>
              <w:rPr>
                <w:rFonts w:ascii="Arial" w:hAnsi="Arial"/>
                <w:i/>
                <w:sz w:val="18"/>
              </w:rPr>
              <w:t>pacificus</w:t>
            </w:r>
            <w:proofErr w:type="spellEnd"/>
            <w:r>
              <w:rPr>
                <w:rFonts w:ascii="Arial" w:hAnsi="Arial"/>
                <w:sz w:val="18"/>
              </w:rPr>
              <w:t xml:space="preserve">).  All of these species may utilise the habitat within and adjoining the application area, for nesting or foraging, at different times throughout the year.  The habitat types that occur within the application area are not restricted to the application area and there is a widespread distribution of similar, and for some species more suitable, habitat types throughout the Pilbara region.  The proposed clearing is unlikely to impact on significant habitat required for the existence of these migratory species.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 xml:space="preserve">The vegetation applied to clear adjoins an existing waste dump.   The vegetation communities within the application area are considered as being common within the Pilbara region and there are no landscape or vegetation features such as caves, ledges, hollows or waterholes that would provide significant habitat for fauna indigenous to Western Australia (Keith Lindbeck and Associates; 2007a; Shepherd, 2007).  The proposed clearing is unlikely to impact on significant habitat for fauna indigenous to </w:t>
            </w:r>
            <w:smartTag w:uri="urn:schemas-microsoft-com:office:smarttags" w:element="place">
              <w:smartTag w:uri="urn:schemas-microsoft-com:office:smarttags" w:element="State">
                <w:r>
                  <w:rPr>
                    <w:rFonts w:ascii="Arial" w:hAnsi="Arial"/>
                    <w:sz w:val="18"/>
                  </w:rPr>
                  <w:t>Western Australia</w:t>
                </w:r>
              </w:smartTag>
            </w:smartTag>
            <w:r>
              <w:rPr>
                <w:rFonts w:ascii="Arial" w:hAnsi="Arial"/>
                <w:sz w:val="18"/>
              </w:rPr>
              <w:t xml:space="preserve">.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Based on the above, the proposed clearing is not likely to be at variance to this Principle.</w:t>
            </w:r>
          </w:p>
          <w:p w:rsidR="00D12AB0" w:rsidRDefault="00D12AB0">
            <w:pPr>
              <w:pStyle w:val="table"/>
              <w:tabs>
                <w:tab w:val="clear" w:pos="426"/>
                <w:tab w:val="left" w:pos="2552"/>
              </w:tabs>
            </w:pPr>
          </w:p>
        </w:tc>
      </w:tr>
      <w:tr w:rsidR="00D12AB0">
        <w:tc>
          <w:tcPr>
            <w:tcW w:w="1242" w:type="dxa"/>
          </w:tcPr>
          <w:p w:rsidR="00D12AB0" w:rsidRDefault="00D12AB0">
            <w:pPr>
              <w:pStyle w:val="table"/>
              <w:tabs>
                <w:tab w:val="clear" w:pos="426"/>
                <w:tab w:val="left" w:pos="2552"/>
              </w:tabs>
              <w:rPr>
                <w:b/>
                <w:sz w:val="16"/>
              </w:rPr>
            </w:pPr>
            <w:r>
              <w:rPr>
                <w:b/>
                <w:sz w:val="16"/>
              </w:rPr>
              <w:lastRenderedPageBreak/>
              <w:t>Methodology</w:t>
            </w:r>
          </w:p>
        </w:tc>
        <w:tc>
          <w:tcPr>
            <w:tcW w:w="9072" w:type="dxa"/>
          </w:tcPr>
          <w:p w:rsidR="008F0889" w:rsidRDefault="008F0889">
            <w:pPr>
              <w:pStyle w:val="table"/>
              <w:tabs>
                <w:tab w:val="clear" w:pos="426"/>
                <w:tab w:val="left" w:pos="2552"/>
              </w:tabs>
            </w:pPr>
            <w:r>
              <w:t>Australian Museum Online (1999)</w:t>
            </w:r>
          </w:p>
          <w:p w:rsidR="008F0889" w:rsidRDefault="008F0889">
            <w:pPr>
              <w:pStyle w:val="table"/>
              <w:tabs>
                <w:tab w:val="clear" w:pos="426"/>
                <w:tab w:val="left" w:pos="2552"/>
              </w:tabs>
            </w:pPr>
            <w:r>
              <w:t>Australian Wildlife Conservancy (2008)</w:t>
            </w:r>
          </w:p>
          <w:p w:rsidR="008F0889" w:rsidRDefault="008F0889">
            <w:pPr>
              <w:pStyle w:val="table"/>
              <w:tabs>
                <w:tab w:val="clear" w:pos="426"/>
                <w:tab w:val="left" w:pos="2552"/>
              </w:tabs>
            </w:pPr>
            <w:r>
              <w:t>Biota (2004b)</w:t>
            </w:r>
          </w:p>
          <w:p w:rsidR="008F0889" w:rsidRDefault="008F0889">
            <w:pPr>
              <w:pStyle w:val="table"/>
              <w:tabs>
                <w:tab w:val="clear" w:pos="426"/>
                <w:tab w:val="left" w:pos="2552"/>
              </w:tabs>
            </w:pPr>
            <w:r>
              <w:t>Department of Environment and Climate Change NSW (2008)</w:t>
            </w:r>
          </w:p>
          <w:p w:rsidR="008F0889" w:rsidRDefault="008F0889">
            <w:pPr>
              <w:pStyle w:val="table"/>
              <w:tabs>
                <w:tab w:val="clear" w:pos="426"/>
                <w:tab w:val="left" w:pos="2552"/>
              </w:tabs>
            </w:pPr>
            <w:r>
              <w:t>EPA (Qld) (2006)</w:t>
            </w:r>
          </w:p>
          <w:p w:rsidR="008F0889" w:rsidRDefault="008F0889">
            <w:pPr>
              <w:pStyle w:val="table"/>
              <w:tabs>
                <w:tab w:val="clear" w:pos="426"/>
                <w:tab w:val="left" w:pos="2552"/>
              </w:tabs>
            </w:pPr>
            <w:r>
              <w:t>Environment Australia (1999)</w:t>
            </w:r>
          </w:p>
          <w:p w:rsidR="008F0889" w:rsidRDefault="008F0889">
            <w:pPr>
              <w:pStyle w:val="table"/>
              <w:tabs>
                <w:tab w:val="clear" w:pos="426"/>
                <w:tab w:val="left" w:pos="2552"/>
              </w:tabs>
            </w:pPr>
            <w:r>
              <w:t>Johnstone and Storr (1998)</w:t>
            </w:r>
          </w:p>
          <w:p w:rsidR="008F0889" w:rsidRDefault="008F0889">
            <w:pPr>
              <w:pStyle w:val="table"/>
              <w:tabs>
                <w:tab w:val="clear" w:pos="426"/>
                <w:tab w:val="left" w:pos="2552"/>
              </w:tabs>
            </w:pPr>
            <w:r>
              <w:t>Keith Lindbeck and Associates (2007a)</w:t>
            </w:r>
          </w:p>
          <w:p w:rsidR="008F0889" w:rsidRDefault="008F0889">
            <w:pPr>
              <w:pStyle w:val="table"/>
              <w:tabs>
                <w:tab w:val="clear" w:pos="426"/>
                <w:tab w:val="left" w:pos="2552"/>
              </w:tabs>
            </w:pPr>
            <w:r>
              <w:t>Keith Lindbeck and Associates (2007b)</w:t>
            </w:r>
          </w:p>
          <w:p w:rsidR="008F0889" w:rsidRDefault="008F0889">
            <w:pPr>
              <w:pStyle w:val="table"/>
              <w:tabs>
                <w:tab w:val="clear" w:pos="426"/>
                <w:tab w:val="left" w:pos="2552"/>
              </w:tabs>
            </w:pPr>
            <w:r>
              <w:t>Kendrick (2001)</w:t>
            </w:r>
          </w:p>
          <w:p w:rsidR="008F0889" w:rsidRDefault="008F0889">
            <w:pPr>
              <w:pStyle w:val="table"/>
              <w:tabs>
                <w:tab w:val="clear" w:pos="426"/>
                <w:tab w:val="left" w:pos="2552"/>
              </w:tabs>
            </w:pPr>
            <w:r>
              <w:t>Shepherd (2007)</w:t>
            </w:r>
          </w:p>
          <w:p w:rsidR="008F0889" w:rsidRDefault="008F0889">
            <w:pPr>
              <w:pStyle w:val="table"/>
              <w:tabs>
                <w:tab w:val="clear" w:pos="426"/>
                <w:tab w:val="left" w:pos="2552"/>
              </w:tabs>
            </w:pPr>
            <w:r>
              <w:t>GIS Database:</w:t>
            </w:r>
          </w:p>
          <w:p w:rsidR="00D12AB0" w:rsidRDefault="008F0889">
            <w:pPr>
              <w:pStyle w:val="table"/>
              <w:tabs>
                <w:tab w:val="clear" w:pos="426"/>
                <w:tab w:val="left" w:pos="2552"/>
              </w:tabs>
            </w:pPr>
            <w:r>
              <w:t>- Hydrography, linear (hierarchy)</w:t>
            </w:r>
          </w:p>
        </w:tc>
      </w:tr>
    </w:tbl>
    <w:p w:rsidR="00D12AB0" w:rsidRDefault="00D12AB0">
      <w:pPr>
        <w:rPr>
          <w:sz w:val="10"/>
        </w:rPr>
      </w:pPr>
    </w:p>
    <w:p w:rsidR="00D12AB0" w:rsidRDefault="00D12AB0">
      <w:pPr>
        <w:pStyle w:val="Heading4"/>
        <w:keepLines/>
        <w:shd w:val="pct10" w:color="auto" w:fill="FFFFFF"/>
      </w:pPr>
      <w:r>
        <w:t>(c)</w:t>
      </w:r>
      <w:r>
        <w:tab/>
        <w:t>Native vegetation should not be cleared if it includes, or is necessary for the continued existence of, rare flora.</w:t>
      </w:r>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8F0889">
            <w:pPr>
              <w:pStyle w:val="Heading8"/>
              <w:rPr>
                <w:b w:val="0"/>
                <w:i/>
                <w:sz w:val="18"/>
              </w:rPr>
            </w:pPr>
            <w:r>
              <w:t>Proposal is not likely to be at variance to this Principle</w:t>
            </w:r>
          </w:p>
        </w:tc>
      </w:tr>
      <w:tr w:rsidR="00D12AB0">
        <w:tc>
          <w:tcPr>
            <w:tcW w:w="1242" w:type="dxa"/>
          </w:tcPr>
          <w:p w:rsidR="00D12AB0" w:rsidRDefault="00D12AB0">
            <w:pPr>
              <w:pStyle w:val="table"/>
              <w:keepLines/>
              <w:tabs>
                <w:tab w:val="clear" w:pos="426"/>
                <w:tab w:val="left" w:pos="2552"/>
              </w:tabs>
              <w:rPr>
                <w:b/>
                <w:sz w:val="16"/>
              </w:rPr>
            </w:pPr>
          </w:p>
        </w:tc>
        <w:tc>
          <w:tcPr>
            <w:tcW w:w="9072" w:type="dxa"/>
          </w:tcPr>
          <w:p w:rsidR="002B4ED6" w:rsidRDefault="002B4ED6" w:rsidP="002B4ED6">
            <w:pPr>
              <w:rPr>
                <w:rFonts w:ascii="Arial" w:hAnsi="Arial"/>
                <w:sz w:val="18"/>
                <w:lang w:eastAsia="en-US"/>
              </w:rPr>
            </w:pPr>
            <w:r>
              <w:rPr>
                <w:rFonts w:ascii="Arial" w:hAnsi="Arial"/>
                <w:sz w:val="18"/>
              </w:rPr>
              <w:t xml:space="preserve">According to available datasets there are no known records of Declared Rare Flora (DRF) or Priority flora species within the clearing application area (GIS database).  The nearest recorded population of DRF is located approximately 56 kilometres north-east of the application area (GIS Database).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 xml:space="preserve">A Declared Rare Flora and Priority Flora survey was undertaken by botanists from Hamersley Iron Pty Ltd on 28 November 2003.  No DRF or Priority Flora species were recorded during the survey (Keith Lindbeck and Associates, 2007a).  The proposed clearing is unlikely to impact on any DRF or Priority flora species.  </w:t>
            </w:r>
          </w:p>
          <w:p w:rsidR="002B4ED6" w:rsidRDefault="002B4ED6" w:rsidP="002B4ED6">
            <w:pPr>
              <w:rPr>
                <w:rFonts w:ascii="Arial" w:hAnsi="Arial"/>
                <w:sz w:val="18"/>
              </w:rPr>
            </w:pPr>
          </w:p>
          <w:p w:rsidR="002B4ED6" w:rsidRDefault="002B4ED6" w:rsidP="002B4ED6">
            <w:pPr>
              <w:rPr>
                <w:rFonts w:ascii="Arial" w:hAnsi="Arial"/>
                <w:sz w:val="18"/>
              </w:rPr>
            </w:pPr>
            <w:r>
              <w:rPr>
                <w:rFonts w:ascii="Arial" w:hAnsi="Arial"/>
                <w:sz w:val="18"/>
              </w:rPr>
              <w:t>Based on the above, the proposed clearing is not likely to be at variance to this Principle.</w:t>
            </w:r>
          </w:p>
          <w:p w:rsidR="00D12AB0" w:rsidRDefault="00D12AB0">
            <w:pPr>
              <w:pStyle w:val="table"/>
              <w:keepLines/>
              <w:tabs>
                <w:tab w:val="clear" w:pos="426"/>
                <w:tab w:val="left" w:pos="2552"/>
              </w:tabs>
            </w:pPr>
          </w:p>
        </w:tc>
      </w:tr>
      <w:tr w:rsidR="00D12AB0">
        <w:tc>
          <w:tcPr>
            <w:tcW w:w="1242" w:type="dxa"/>
          </w:tcPr>
          <w:p w:rsidR="00D12AB0" w:rsidRDefault="00D12AB0">
            <w:pPr>
              <w:pStyle w:val="table"/>
              <w:keepLines/>
              <w:tabs>
                <w:tab w:val="clear" w:pos="426"/>
                <w:tab w:val="left" w:pos="2552"/>
              </w:tabs>
              <w:rPr>
                <w:b/>
                <w:sz w:val="16"/>
              </w:rPr>
            </w:pPr>
            <w:r>
              <w:rPr>
                <w:b/>
                <w:sz w:val="16"/>
              </w:rPr>
              <w:t>Methodology</w:t>
            </w:r>
          </w:p>
        </w:tc>
        <w:tc>
          <w:tcPr>
            <w:tcW w:w="9072" w:type="dxa"/>
          </w:tcPr>
          <w:p w:rsidR="008F0889" w:rsidRDefault="008F0889">
            <w:pPr>
              <w:pStyle w:val="table"/>
              <w:keepLines/>
              <w:tabs>
                <w:tab w:val="clear" w:pos="426"/>
                <w:tab w:val="left" w:pos="2552"/>
              </w:tabs>
            </w:pPr>
            <w:r>
              <w:t>Keith Lindbeck and Associates (2007a)</w:t>
            </w:r>
          </w:p>
          <w:p w:rsidR="008F0889" w:rsidRDefault="008F0889">
            <w:pPr>
              <w:pStyle w:val="table"/>
              <w:keepLines/>
              <w:tabs>
                <w:tab w:val="clear" w:pos="426"/>
                <w:tab w:val="left" w:pos="2552"/>
              </w:tabs>
            </w:pPr>
            <w:r>
              <w:t>GIS Database:</w:t>
            </w:r>
          </w:p>
          <w:p w:rsidR="00D12AB0" w:rsidRDefault="008F0889">
            <w:pPr>
              <w:pStyle w:val="table"/>
              <w:keepLines/>
              <w:tabs>
                <w:tab w:val="clear" w:pos="426"/>
                <w:tab w:val="left" w:pos="2552"/>
              </w:tabs>
            </w:pPr>
            <w:r>
              <w:t>-  Declared Rare and Priority Flora List</w:t>
            </w:r>
          </w:p>
        </w:tc>
      </w:tr>
    </w:tbl>
    <w:p w:rsidR="00D12AB0" w:rsidRDefault="00D12AB0">
      <w:pPr>
        <w:rPr>
          <w:sz w:val="10"/>
        </w:rPr>
      </w:pPr>
    </w:p>
    <w:p w:rsidR="00D12AB0" w:rsidRDefault="00D12AB0">
      <w:pPr>
        <w:pStyle w:val="Heading4"/>
        <w:keepLines/>
        <w:shd w:val="pct10" w:color="auto" w:fill="FFFFFF"/>
      </w:pPr>
      <w:r>
        <w:t>(d)</w:t>
      </w:r>
      <w:r>
        <w:tab/>
        <w:t>Native vegetation should not be cleared if it comprises the whole or a part of, or is necessary for the maintenance of a threatened ecological community.</w:t>
      </w:r>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8F0889">
            <w:pPr>
              <w:pStyle w:val="Heading8"/>
              <w:keepLines/>
              <w:rPr>
                <w:i/>
                <w:sz w:val="18"/>
              </w:rPr>
            </w:pPr>
            <w:r>
              <w:t>Proposal is not likely to be at variance to this Principle</w:t>
            </w:r>
          </w:p>
        </w:tc>
      </w:tr>
      <w:tr w:rsidR="00D12AB0">
        <w:tc>
          <w:tcPr>
            <w:tcW w:w="1242" w:type="dxa"/>
          </w:tcPr>
          <w:p w:rsidR="00D12AB0" w:rsidRDefault="00D12AB0">
            <w:pPr>
              <w:pStyle w:val="table"/>
              <w:keepLines/>
              <w:tabs>
                <w:tab w:val="clear" w:pos="426"/>
                <w:tab w:val="left" w:pos="2552"/>
              </w:tabs>
              <w:rPr>
                <w:b/>
                <w:sz w:val="16"/>
              </w:rPr>
            </w:pPr>
          </w:p>
        </w:tc>
        <w:tc>
          <w:tcPr>
            <w:tcW w:w="9072" w:type="dxa"/>
          </w:tcPr>
          <w:p w:rsidR="008F0889" w:rsidRDefault="008F0889">
            <w:pPr>
              <w:pStyle w:val="table"/>
              <w:keepLines/>
              <w:tabs>
                <w:tab w:val="clear" w:pos="426"/>
                <w:tab w:val="left" w:pos="2552"/>
              </w:tabs>
            </w:pPr>
            <w:r>
              <w:t>There are no known Threate</w:t>
            </w:r>
            <w:r w:rsidR="002B4ED6">
              <w:t>ned Ecological Communities (TEC’</w:t>
            </w:r>
            <w:r>
              <w:t xml:space="preserve">s) within the application area (GIS database; Keith Lindbeck and Associates, 2007a).  The nearest known TEC is located approximately </w:t>
            </w:r>
            <w:r w:rsidR="002B4ED6">
              <w:t>92</w:t>
            </w:r>
            <w:r>
              <w:t xml:space="preserve"> kilometres north</w:t>
            </w:r>
            <w:r w:rsidR="002B4ED6">
              <w:t>-east</w:t>
            </w:r>
            <w:r>
              <w:t xml:space="preserve"> of the application area (GIS database).  Given the distance between the proposal and the nearest known TEC, the proposed clearing is not likely to impact on the conservation of that TEC.  </w:t>
            </w:r>
          </w:p>
          <w:p w:rsidR="008F0889" w:rsidRDefault="008F0889">
            <w:pPr>
              <w:pStyle w:val="table"/>
              <w:keepLines/>
              <w:tabs>
                <w:tab w:val="clear" w:pos="426"/>
                <w:tab w:val="left" w:pos="2552"/>
              </w:tabs>
            </w:pPr>
          </w:p>
          <w:p w:rsidR="00D12AB0" w:rsidRDefault="008F0889">
            <w:pPr>
              <w:pStyle w:val="table"/>
              <w:keepLines/>
              <w:tabs>
                <w:tab w:val="clear" w:pos="426"/>
                <w:tab w:val="left" w:pos="2552"/>
              </w:tabs>
            </w:pPr>
            <w:r>
              <w:t>Based on the above, the proposed clearing is not likely to be at variance to this Principle.</w:t>
            </w:r>
          </w:p>
          <w:p w:rsidR="00D12AB0" w:rsidRDefault="00D12AB0">
            <w:pPr>
              <w:pStyle w:val="table"/>
              <w:keepLines/>
              <w:tabs>
                <w:tab w:val="clear" w:pos="426"/>
                <w:tab w:val="left" w:pos="2552"/>
              </w:tabs>
            </w:pPr>
          </w:p>
        </w:tc>
      </w:tr>
      <w:tr w:rsidR="00D12AB0">
        <w:tc>
          <w:tcPr>
            <w:tcW w:w="1242" w:type="dxa"/>
          </w:tcPr>
          <w:p w:rsidR="00D12AB0" w:rsidRDefault="00D12AB0">
            <w:pPr>
              <w:pStyle w:val="table"/>
              <w:keepLines/>
              <w:tabs>
                <w:tab w:val="clear" w:pos="426"/>
                <w:tab w:val="left" w:pos="2552"/>
              </w:tabs>
              <w:rPr>
                <w:b/>
                <w:sz w:val="16"/>
              </w:rPr>
            </w:pPr>
            <w:r>
              <w:rPr>
                <w:b/>
                <w:sz w:val="16"/>
              </w:rPr>
              <w:t>Methodology</w:t>
            </w:r>
          </w:p>
        </w:tc>
        <w:tc>
          <w:tcPr>
            <w:tcW w:w="9072" w:type="dxa"/>
          </w:tcPr>
          <w:p w:rsidR="008F0889" w:rsidRDefault="008F0889">
            <w:pPr>
              <w:pStyle w:val="table"/>
              <w:keepLines/>
              <w:tabs>
                <w:tab w:val="clear" w:pos="426"/>
                <w:tab w:val="left" w:pos="2552"/>
              </w:tabs>
            </w:pPr>
            <w:r>
              <w:t>Keith Lindbeck and Associates (2007a)</w:t>
            </w:r>
          </w:p>
          <w:p w:rsidR="008F0889" w:rsidRDefault="008F0889">
            <w:pPr>
              <w:pStyle w:val="table"/>
              <w:keepLines/>
              <w:tabs>
                <w:tab w:val="clear" w:pos="426"/>
                <w:tab w:val="left" w:pos="2552"/>
              </w:tabs>
            </w:pPr>
            <w:r>
              <w:t>GIS Database:</w:t>
            </w:r>
          </w:p>
          <w:p w:rsidR="00D12AB0" w:rsidRDefault="008F0889">
            <w:pPr>
              <w:pStyle w:val="table"/>
              <w:keepLines/>
              <w:tabs>
                <w:tab w:val="clear" w:pos="426"/>
                <w:tab w:val="left" w:pos="2552"/>
              </w:tabs>
            </w:pPr>
            <w:r>
              <w:t>-  Threatened Ecological Communities</w:t>
            </w:r>
          </w:p>
        </w:tc>
      </w:tr>
    </w:tbl>
    <w:p w:rsidR="00D12AB0" w:rsidRDefault="00D12AB0">
      <w:pPr>
        <w:rPr>
          <w:sz w:val="10"/>
        </w:rPr>
      </w:pPr>
    </w:p>
    <w:p w:rsidR="00D12AB0" w:rsidRDefault="00D12AB0">
      <w:pPr>
        <w:pStyle w:val="Heading4"/>
        <w:keepLines/>
        <w:shd w:val="pct10" w:color="auto" w:fill="FFFFFF"/>
      </w:pPr>
      <w:r>
        <w:t>(e)</w:t>
      </w:r>
      <w:r>
        <w:tab/>
        <w:t>Native vegetation should not be cleared if it is significant as a remnant of native vegetation in an area that has been extensively cleared.</w:t>
      </w:r>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8F0889">
            <w:pPr>
              <w:keepNext/>
              <w:keepLines/>
              <w:ind w:right="-109"/>
              <w:rPr>
                <w:rFonts w:ascii="Arial" w:hAnsi="Arial"/>
                <w:b/>
                <w:i/>
                <w:sz w:val="18"/>
              </w:rPr>
            </w:pPr>
            <w:r>
              <w:rPr>
                <w:rFonts w:ascii="Arial" w:hAnsi="Arial"/>
                <w:b/>
                <w:sz w:val="20"/>
              </w:rPr>
              <w:t>Proposal is not at variance to this Principle</w:t>
            </w:r>
          </w:p>
        </w:tc>
      </w:tr>
      <w:tr w:rsidR="00D12AB0">
        <w:tc>
          <w:tcPr>
            <w:tcW w:w="1242" w:type="dxa"/>
          </w:tcPr>
          <w:p w:rsidR="00D12AB0" w:rsidRDefault="00D12AB0">
            <w:pPr>
              <w:pStyle w:val="table"/>
              <w:keepLines/>
              <w:tabs>
                <w:tab w:val="clear" w:pos="426"/>
                <w:tab w:val="left" w:pos="2552"/>
                <w:tab w:val="left" w:pos="5387"/>
                <w:tab w:val="left" w:pos="7371"/>
              </w:tabs>
              <w:rPr>
                <w:b/>
                <w:sz w:val="16"/>
              </w:rPr>
            </w:pPr>
          </w:p>
        </w:tc>
        <w:tc>
          <w:tcPr>
            <w:tcW w:w="9072" w:type="dxa"/>
          </w:tcPr>
          <w:tbl>
            <w:tblPr>
              <w:tblW w:w="0" w:type="auto"/>
              <w:tblLayout w:type="fixed"/>
              <w:tblLook w:val="04A0"/>
            </w:tblPr>
            <w:tblGrid>
              <w:gridCol w:w="9072"/>
            </w:tblGrid>
            <w:tr w:rsidR="00166213" w:rsidTr="00166213">
              <w:tc>
                <w:tcPr>
                  <w:tcW w:w="9072" w:type="dxa"/>
                </w:tcPr>
                <w:p w:rsidR="00166213" w:rsidRDefault="00166213">
                  <w:pPr>
                    <w:tabs>
                      <w:tab w:val="left" w:pos="2444"/>
                      <w:tab w:val="left" w:pos="3720"/>
                      <w:tab w:val="center" w:pos="5279"/>
                      <w:tab w:val="left" w:pos="5988"/>
                      <w:tab w:val="left" w:pos="7405"/>
                    </w:tabs>
                    <w:rPr>
                      <w:rFonts w:ascii="Arial" w:hAnsi="Arial"/>
                      <w:sz w:val="18"/>
                      <w:lang w:eastAsia="en-US"/>
                    </w:rPr>
                  </w:pPr>
                  <w:r>
                    <w:rPr>
                      <w:rFonts w:ascii="Arial" w:hAnsi="Arial"/>
                      <w:sz w:val="18"/>
                    </w:rPr>
                    <w:t xml:space="preserve">The clearing application area falls within the Pilbara Interim </w:t>
                  </w:r>
                  <w:proofErr w:type="spellStart"/>
                  <w:r>
                    <w:rPr>
                      <w:rFonts w:ascii="Arial" w:hAnsi="Arial"/>
                      <w:sz w:val="18"/>
                    </w:rPr>
                    <w:t>Biogeographic</w:t>
                  </w:r>
                  <w:proofErr w:type="spellEnd"/>
                  <w:r>
                    <w:rPr>
                      <w:rFonts w:ascii="Arial" w:hAnsi="Arial"/>
                      <w:sz w:val="18"/>
                    </w:rPr>
                    <w:t xml:space="preserve"> Regionalisation for Australia (IBRA) region in which approximately 99.9% of the pre-European vegetation remains (GIS database; Shepherd, 2007).  </w:t>
                  </w:r>
                </w:p>
                <w:p w:rsidR="00166213" w:rsidRDefault="00166213">
                  <w:pPr>
                    <w:tabs>
                      <w:tab w:val="left" w:pos="2444"/>
                      <w:tab w:val="left" w:pos="3720"/>
                      <w:tab w:val="center" w:pos="5279"/>
                      <w:tab w:val="left" w:pos="5988"/>
                      <w:tab w:val="left" w:pos="7405"/>
                    </w:tabs>
                    <w:rPr>
                      <w:rFonts w:ascii="Arial" w:hAnsi="Arial"/>
                      <w:sz w:val="18"/>
                    </w:rPr>
                  </w:pPr>
                </w:p>
                <w:p w:rsidR="00166213" w:rsidRDefault="00166213">
                  <w:pPr>
                    <w:tabs>
                      <w:tab w:val="left" w:pos="2444"/>
                      <w:tab w:val="left" w:pos="3720"/>
                      <w:tab w:val="center" w:pos="5279"/>
                      <w:tab w:val="left" w:pos="5988"/>
                      <w:tab w:val="left" w:pos="7405"/>
                    </w:tabs>
                    <w:rPr>
                      <w:rFonts w:ascii="Arial" w:hAnsi="Arial"/>
                      <w:sz w:val="18"/>
                    </w:rPr>
                  </w:pPr>
                  <w:r>
                    <w:rPr>
                      <w:rFonts w:ascii="Arial" w:hAnsi="Arial"/>
                      <w:sz w:val="18"/>
                    </w:rPr>
                    <w:t xml:space="preserve">The vegetation of the clearing application area has been mapped as Beard vegetation association 181: </w:t>
                  </w:r>
                  <w:proofErr w:type="spellStart"/>
                  <w:r>
                    <w:rPr>
                      <w:rFonts w:ascii="Arial" w:hAnsi="Arial"/>
                      <w:sz w:val="18"/>
                    </w:rPr>
                    <w:t>Shrublands</w:t>
                  </w:r>
                  <w:proofErr w:type="spellEnd"/>
                  <w:r>
                    <w:rPr>
                      <w:rFonts w:ascii="Arial" w:hAnsi="Arial"/>
                      <w:sz w:val="18"/>
                    </w:rPr>
                    <w:t xml:space="preserve">; mulga &amp; </w:t>
                  </w:r>
                  <w:proofErr w:type="spellStart"/>
                  <w:r>
                    <w:rPr>
                      <w:rFonts w:ascii="Arial" w:hAnsi="Arial"/>
                      <w:sz w:val="18"/>
                    </w:rPr>
                    <w:t>snakewood</w:t>
                  </w:r>
                  <w:proofErr w:type="spellEnd"/>
                  <w:r>
                    <w:rPr>
                      <w:rFonts w:ascii="Arial" w:hAnsi="Arial"/>
                      <w:sz w:val="18"/>
                    </w:rPr>
                    <w:t xml:space="preserve"> scrub (GIS Database, Shepherd et al., 2001).  According to Shepherd (2007) approximately 100% of this vegetation association remains at both the state and regional level.    </w:t>
                  </w:r>
                </w:p>
                <w:p w:rsidR="00166213" w:rsidRDefault="00166213">
                  <w:pPr>
                    <w:tabs>
                      <w:tab w:val="left" w:pos="2444"/>
                      <w:tab w:val="left" w:pos="3720"/>
                      <w:tab w:val="center" w:pos="5279"/>
                      <w:tab w:val="left" w:pos="5988"/>
                      <w:tab w:val="left" w:pos="7405"/>
                    </w:tabs>
                    <w:rPr>
                      <w:rFonts w:ascii="Arial" w:hAnsi="Arial"/>
                      <w:sz w:val="18"/>
                    </w:rPr>
                  </w:pPr>
                </w:p>
                <w:p w:rsidR="00166213" w:rsidRDefault="00166213">
                  <w:pPr>
                    <w:tabs>
                      <w:tab w:val="left" w:pos="2444"/>
                      <w:tab w:val="left" w:pos="3720"/>
                      <w:tab w:val="center" w:pos="5279"/>
                      <w:tab w:val="left" w:pos="5988"/>
                      <w:tab w:val="left" w:pos="7405"/>
                    </w:tabs>
                    <w:rPr>
                      <w:rFonts w:ascii="Arial" w:hAnsi="Arial"/>
                      <w:sz w:val="18"/>
                    </w:rPr>
                  </w:pPr>
                  <w:r>
                    <w:rPr>
                      <w:rFonts w:ascii="Arial" w:hAnsi="Arial"/>
                      <w:sz w:val="18"/>
                    </w:rPr>
                    <w:t xml:space="preserve">According to the Bioregional Conservation Status of Ecological Vegetation Classes, the conservation status for the Pilbara Bioregion and Beard vegetation association 181 is of ‘Least Concern’ (Department of Natural Resources and Environment, 2002).   </w:t>
                  </w:r>
                </w:p>
                <w:p w:rsidR="00166213" w:rsidRDefault="00166213">
                  <w:pPr>
                    <w:tabs>
                      <w:tab w:val="left" w:pos="2444"/>
                      <w:tab w:val="left" w:pos="3720"/>
                      <w:tab w:val="center" w:pos="5279"/>
                      <w:tab w:val="left" w:pos="5988"/>
                      <w:tab w:val="left" w:pos="7405"/>
                    </w:tabs>
                    <w:rPr>
                      <w:rFonts w:ascii="Arial" w:hAnsi="Arial"/>
                      <w:sz w:val="18"/>
                    </w:rPr>
                  </w:pPr>
                </w:p>
                <w:p w:rsidR="00166213" w:rsidRDefault="00166213">
                  <w:pPr>
                    <w:tabs>
                      <w:tab w:val="left" w:pos="2444"/>
                      <w:tab w:val="left" w:pos="3720"/>
                      <w:tab w:val="center" w:pos="5279"/>
                      <w:tab w:val="left" w:pos="5988"/>
                      <w:tab w:val="left" w:pos="7405"/>
                    </w:tabs>
                    <w:rPr>
                      <w:rFonts w:ascii="Arial" w:hAnsi="Arial"/>
                      <w:sz w:val="18"/>
                    </w:rPr>
                  </w:pPr>
                  <w:r>
                    <w:rPr>
                      <w:rFonts w:ascii="Arial" w:hAnsi="Arial"/>
                      <w:sz w:val="18"/>
                    </w:rPr>
                    <w:t xml:space="preserve">While a small percentage of the vegetation types within the Pilbara bioregion are protected within conservation reserves, the bioregion remains largely uncleared. As a result, the conservation of the vegetation associations within the bioregion is not likely to be impacted on by this proposal. </w:t>
                  </w:r>
                </w:p>
                <w:p w:rsidR="00166213" w:rsidRDefault="00166213">
                  <w:pPr>
                    <w:tabs>
                      <w:tab w:val="left" w:pos="2444"/>
                      <w:tab w:val="left" w:pos="3720"/>
                      <w:tab w:val="center" w:pos="5279"/>
                      <w:tab w:val="left" w:pos="5988"/>
                      <w:tab w:val="left" w:pos="7405"/>
                    </w:tabs>
                    <w:rPr>
                      <w:rFonts w:ascii="Arial" w:hAnsi="Arial"/>
                      <w:sz w:val="18"/>
                    </w:rPr>
                  </w:pPr>
                </w:p>
                <w:tbl>
                  <w:tblPr>
                    <w:tblStyle w:val="TableGrid"/>
                    <w:tblpPr w:leftFromText="180" w:rightFromText="180" w:vertAnchor="text" w:horzAnchor="margin" w:tblpY="46"/>
                    <w:tblW w:w="0" w:type="auto"/>
                    <w:tblLayout w:type="fixed"/>
                    <w:tblLook w:val="01E0"/>
                  </w:tblPr>
                  <w:tblGrid>
                    <w:gridCol w:w="1728"/>
                    <w:gridCol w:w="1450"/>
                    <w:gridCol w:w="1387"/>
                    <w:gridCol w:w="1077"/>
                    <w:gridCol w:w="1363"/>
                    <w:gridCol w:w="1517"/>
                  </w:tblGrid>
                  <w:tr w:rsidR="00166213">
                    <w:trPr>
                      <w:trHeight w:val="890"/>
                    </w:trPr>
                    <w:tc>
                      <w:tcPr>
                        <w:tcW w:w="1728" w:type="dxa"/>
                        <w:tcBorders>
                          <w:top w:val="single" w:sz="4" w:space="0" w:color="auto"/>
                          <w:left w:val="single" w:sz="4" w:space="0" w:color="auto"/>
                          <w:bottom w:val="nil"/>
                          <w:right w:val="single" w:sz="4" w:space="0" w:color="auto"/>
                        </w:tcBorders>
                        <w:shd w:val="clear" w:color="auto" w:fill="A6A6A6"/>
                      </w:tcPr>
                      <w:p w:rsidR="00166213" w:rsidRDefault="00166213">
                        <w:pPr>
                          <w:rPr>
                            <w:rFonts w:ascii="Arial" w:hAnsi="Arial" w:cs="Arial"/>
                            <w:color w:val="000000"/>
                            <w:sz w:val="18"/>
                            <w:szCs w:val="18"/>
                            <w:lang w:eastAsia="en-US"/>
                          </w:rPr>
                        </w:pPr>
                      </w:p>
                    </w:tc>
                    <w:tc>
                      <w:tcPr>
                        <w:tcW w:w="1450" w:type="dxa"/>
                        <w:tcBorders>
                          <w:top w:val="single" w:sz="4" w:space="0" w:color="auto"/>
                          <w:left w:val="single" w:sz="4" w:space="0" w:color="auto"/>
                          <w:bottom w:val="nil"/>
                          <w:right w:val="single" w:sz="4" w:space="0" w:color="auto"/>
                        </w:tcBorders>
                        <w:shd w:val="clear" w:color="auto" w:fill="A6A6A6"/>
                        <w:hideMark/>
                      </w:tcPr>
                      <w:p w:rsidR="00166213" w:rsidRDefault="00166213">
                        <w:pPr>
                          <w:rPr>
                            <w:rFonts w:ascii="Arial" w:hAnsi="Arial" w:cs="Arial"/>
                            <w:color w:val="000000"/>
                            <w:sz w:val="18"/>
                            <w:szCs w:val="18"/>
                            <w:lang w:eastAsia="en-US"/>
                          </w:rPr>
                        </w:pPr>
                        <w:r>
                          <w:rPr>
                            <w:rFonts w:ascii="Arial" w:hAnsi="Arial" w:cs="Arial"/>
                            <w:color w:val="000000"/>
                            <w:sz w:val="18"/>
                            <w:szCs w:val="18"/>
                          </w:rPr>
                          <w:t>Pre-European area (ha)*</w:t>
                        </w:r>
                      </w:p>
                    </w:tc>
                    <w:tc>
                      <w:tcPr>
                        <w:tcW w:w="1387" w:type="dxa"/>
                        <w:tcBorders>
                          <w:top w:val="single" w:sz="4" w:space="0" w:color="auto"/>
                          <w:left w:val="single" w:sz="4" w:space="0" w:color="auto"/>
                          <w:bottom w:val="nil"/>
                          <w:right w:val="single" w:sz="4" w:space="0" w:color="auto"/>
                        </w:tcBorders>
                        <w:shd w:val="clear" w:color="auto" w:fill="A6A6A6"/>
                        <w:hideMark/>
                      </w:tcPr>
                      <w:p w:rsidR="00166213" w:rsidRDefault="00166213">
                        <w:pPr>
                          <w:rPr>
                            <w:rFonts w:ascii="Arial" w:hAnsi="Arial" w:cs="Arial"/>
                            <w:color w:val="000000"/>
                            <w:sz w:val="18"/>
                            <w:szCs w:val="18"/>
                            <w:lang w:eastAsia="en-US"/>
                          </w:rPr>
                        </w:pPr>
                        <w:r>
                          <w:rPr>
                            <w:rFonts w:ascii="Arial" w:hAnsi="Arial" w:cs="Arial"/>
                            <w:color w:val="000000"/>
                            <w:sz w:val="18"/>
                            <w:szCs w:val="18"/>
                          </w:rPr>
                          <w:t>Current extent (ha)*</w:t>
                        </w:r>
                      </w:p>
                    </w:tc>
                    <w:tc>
                      <w:tcPr>
                        <w:tcW w:w="1077" w:type="dxa"/>
                        <w:tcBorders>
                          <w:top w:val="single" w:sz="4" w:space="0" w:color="auto"/>
                          <w:left w:val="single" w:sz="4" w:space="0" w:color="auto"/>
                          <w:bottom w:val="nil"/>
                          <w:right w:val="single" w:sz="4" w:space="0" w:color="auto"/>
                        </w:tcBorders>
                        <w:shd w:val="clear" w:color="auto" w:fill="A6A6A6"/>
                        <w:hideMark/>
                      </w:tcPr>
                      <w:p w:rsidR="00166213" w:rsidRDefault="00166213">
                        <w:pPr>
                          <w:rPr>
                            <w:rFonts w:ascii="Arial" w:hAnsi="Arial" w:cs="Arial"/>
                            <w:color w:val="000000"/>
                            <w:sz w:val="18"/>
                            <w:szCs w:val="18"/>
                            <w:lang w:eastAsia="en-US"/>
                          </w:rPr>
                        </w:pPr>
                        <w:r>
                          <w:rPr>
                            <w:rFonts w:ascii="Arial" w:hAnsi="Arial" w:cs="Arial"/>
                            <w:color w:val="000000"/>
                            <w:sz w:val="18"/>
                            <w:szCs w:val="18"/>
                          </w:rPr>
                          <w:t>Remaining %*</w:t>
                        </w:r>
                      </w:p>
                    </w:tc>
                    <w:tc>
                      <w:tcPr>
                        <w:tcW w:w="1363" w:type="dxa"/>
                        <w:tcBorders>
                          <w:top w:val="single" w:sz="4" w:space="0" w:color="auto"/>
                          <w:left w:val="single" w:sz="4" w:space="0" w:color="auto"/>
                          <w:bottom w:val="nil"/>
                          <w:right w:val="single" w:sz="4" w:space="0" w:color="auto"/>
                        </w:tcBorders>
                        <w:shd w:val="clear" w:color="auto" w:fill="A6A6A6"/>
                        <w:hideMark/>
                      </w:tcPr>
                      <w:p w:rsidR="00166213" w:rsidRDefault="00166213">
                        <w:pPr>
                          <w:rPr>
                            <w:rFonts w:ascii="Arial" w:hAnsi="Arial" w:cs="Arial"/>
                            <w:color w:val="000000"/>
                            <w:sz w:val="18"/>
                            <w:szCs w:val="18"/>
                            <w:lang w:eastAsia="en-US"/>
                          </w:rPr>
                        </w:pPr>
                        <w:r>
                          <w:rPr>
                            <w:rFonts w:ascii="Arial" w:hAnsi="Arial" w:cs="Arial"/>
                            <w:color w:val="000000"/>
                            <w:sz w:val="18"/>
                            <w:szCs w:val="18"/>
                          </w:rPr>
                          <w:t>Conservation Status**</w:t>
                        </w:r>
                      </w:p>
                    </w:tc>
                    <w:tc>
                      <w:tcPr>
                        <w:tcW w:w="1517" w:type="dxa"/>
                        <w:tcBorders>
                          <w:top w:val="single" w:sz="4" w:space="0" w:color="auto"/>
                          <w:left w:val="single" w:sz="4" w:space="0" w:color="auto"/>
                          <w:bottom w:val="nil"/>
                          <w:right w:val="single" w:sz="4" w:space="0" w:color="auto"/>
                        </w:tcBorders>
                        <w:shd w:val="clear" w:color="auto" w:fill="A6A6A6"/>
                        <w:hideMark/>
                      </w:tcPr>
                      <w:p w:rsidR="00166213" w:rsidRDefault="00166213">
                        <w:pPr>
                          <w:rPr>
                            <w:rFonts w:ascii="Arial" w:hAnsi="Arial" w:cs="Arial"/>
                            <w:color w:val="000000"/>
                            <w:sz w:val="18"/>
                            <w:szCs w:val="18"/>
                            <w:lang w:eastAsia="en-US"/>
                          </w:rPr>
                        </w:pPr>
                        <w:r>
                          <w:rPr>
                            <w:rFonts w:ascii="Arial" w:hAnsi="Arial" w:cs="Arial"/>
                            <w:color w:val="000000"/>
                            <w:sz w:val="18"/>
                            <w:szCs w:val="18"/>
                          </w:rPr>
                          <w:t>Pre-</w:t>
                        </w:r>
                        <w:proofErr w:type="spellStart"/>
                        <w:r>
                          <w:rPr>
                            <w:rFonts w:ascii="Arial" w:hAnsi="Arial" w:cs="Arial"/>
                            <w:color w:val="000000"/>
                            <w:sz w:val="18"/>
                            <w:szCs w:val="18"/>
                          </w:rPr>
                          <w:t>european</w:t>
                        </w:r>
                        <w:proofErr w:type="spellEnd"/>
                        <w:r>
                          <w:rPr>
                            <w:rFonts w:ascii="Arial" w:hAnsi="Arial" w:cs="Arial"/>
                            <w:color w:val="000000"/>
                            <w:sz w:val="18"/>
                            <w:szCs w:val="18"/>
                          </w:rPr>
                          <w:t xml:space="preserve"> % in IUCN Class I-IV Reserves</w:t>
                        </w:r>
                      </w:p>
                    </w:tc>
                  </w:tr>
                  <w:tr w:rsidR="00166213">
                    <w:tc>
                      <w:tcPr>
                        <w:tcW w:w="1728"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 xml:space="preserve">IBRA Bioregion – Pilbara </w:t>
                        </w:r>
                      </w:p>
                    </w:tc>
                    <w:tc>
                      <w:tcPr>
                        <w:tcW w:w="1450"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bCs/>
                            <w:color w:val="000000"/>
                            <w:sz w:val="18"/>
                            <w:szCs w:val="18"/>
                            <w:lang w:eastAsia="en-US"/>
                          </w:rPr>
                        </w:pPr>
                        <w:r>
                          <w:rPr>
                            <w:rFonts w:ascii="Arial" w:hAnsi="Arial" w:cs="Arial"/>
                            <w:bCs/>
                            <w:color w:val="000000"/>
                            <w:sz w:val="18"/>
                            <w:szCs w:val="18"/>
                          </w:rPr>
                          <w:t>17,804,188</w:t>
                        </w:r>
                      </w:p>
                    </w:tc>
                    <w:tc>
                      <w:tcPr>
                        <w:tcW w:w="1387"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bCs/>
                            <w:color w:val="000000"/>
                            <w:sz w:val="18"/>
                            <w:szCs w:val="18"/>
                            <w:lang w:eastAsia="en-US"/>
                          </w:rPr>
                        </w:pPr>
                        <w:r>
                          <w:rPr>
                            <w:rFonts w:ascii="Arial" w:hAnsi="Arial" w:cs="Arial"/>
                            <w:bCs/>
                            <w:color w:val="000000"/>
                            <w:sz w:val="18"/>
                            <w:szCs w:val="18"/>
                          </w:rPr>
                          <w:t>17,794,647</w:t>
                        </w:r>
                      </w:p>
                    </w:tc>
                    <w:tc>
                      <w:tcPr>
                        <w:tcW w:w="1077"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bCs/>
                            <w:color w:val="000000"/>
                            <w:sz w:val="18"/>
                            <w:szCs w:val="18"/>
                            <w:lang w:eastAsia="en-US"/>
                          </w:rPr>
                        </w:pPr>
                        <w:r>
                          <w:rPr>
                            <w:rFonts w:ascii="Arial" w:hAnsi="Arial" w:cs="Arial"/>
                            <w:bCs/>
                            <w:color w:val="000000"/>
                            <w:sz w:val="18"/>
                            <w:szCs w:val="18"/>
                          </w:rPr>
                          <w:t>~99.9</w:t>
                        </w:r>
                      </w:p>
                    </w:tc>
                    <w:tc>
                      <w:tcPr>
                        <w:tcW w:w="1363"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Least Concern</w:t>
                        </w:r>
                      </w:p>
                    </w:tc>
                    <w:tc>
                      <w:tcPr>
                        <w:tcW w:w="1517"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bCs/>
                            <w:color w:val="000000"/>
                            <w:sz w:val="18"/>
                            <w:szCs w:val="18"/>
                            <w:lang w:eastAsia="en-US"/>
                          </w:rPr>
                        </w:pPr>
                        <w:r>
                          <w:rPr>
                            <w:rFonts w:ascii="Arial" w:hAnsi="Arial" w:cs="Arial"/>
                            <w:bCs/>
                            <w:color w:val="000000"/>
                            <w:sz w:val="18"/>
                            <w:szCs w:val="18"/>
                          </w:rPr>
                          <w:t>6.3</w:t>
                        </w:r>
                      </w:p>
                    </w:tc>
                  </w:tr>
                  <w:tr w:rsidR="00166213">
                    <w:tc>
                      <w:tcPr>
                        <w:tcW w:w="1728" w:type="dxa"/>
                        <w:tcBorders>
                          <w:top w:val="single" w:sz="12" w:space="0" w:color="auto"/>
                          <w:left w:val="single" w:sz="4" w:space="0" w:color="auto"/>
                          <w:bottom w:val="single" w:sz="4" w:space="0" w:color="auto"/>
                          <w:right w:val="nil"/>
                        </w:tcBorders>
                        <w:shd w:val="clear" w:color="auto" w:fill="A6A6A6"/>
                        <w:hideMark/>
                      </w:tcPr>
                      <w:p w:rsidR="00166213" w:rsidRDefault="00166213">
                        <w:pPr>
                          <w:rPr>
                            <w:rFonts w:ascii="Arial" w:hAnsi="Arial" w:cs="Arial"/>
                            <w:color w:val="000000"/>
                            <w:sz w:val="18"/>
                            <w:szCs w:val="18"/>
                            <w:lang w:eastAsia="en-US"/>
                          </w:rPr>
                        </w:pPr>
                        <w:r>
                          <w:rPr>
                            <w:rFonts w:ascii="Arial" w:hAnsi="Arial" w:cs="Arial"/>
                            <w:color w:val="000000"/>
                            <w:sz w:val="18"/>
                            <w:szCs w:val="18"/>
                          </w:rPr>
                          <w:t>Beard veg assoc. – State</w:t>
                        </w:r>
                      </w:p>
                    </w:tc>
                    <w:tc>
                      <w:tcPr>
                        <w:tcW w:w="1450" w:type="dxa"/>
                        <w:tcBorders>
                          <w:top w:val="single" w:sz="12" w:space="0" w:color="auto"/>
                          <w:left w:val="nil"/>
                          <w:bottom w:val="single" w:sz="4" w:space="0" w:color="auto"/>
                          <w:right w:val="nil"/>
                        </w:tcBorders>
                        <w:shd w:val="clear" w:color="auto" w:fill="A6A6A6"/>
                      </w:tcPr>
                      <w:p w:rsidR="00166213" w:rsidRDefault="00166213">
                        <w:pPr>
                          <w:rPr>
                            <w:rFonts w:ascii="Arial" w:hAnsi="Arial" w:cs="Arial"/>
                            <w:bCs/>
                            <w:color w:val="000000"/>
                            <w:sz w:val="18"/>
                            <w:szCs w:val="18"/>
                            <w:lang w:eastAsia="en-US"/>
                          </w:rPr>
                        </w:pPr>
                      </w:p>
                    </w:tc>
                    <w:tc>
                      <w:tcPr>
                        <w:tcW w:w="1387" w:type="dxa"/>
                        <w:tcBorders>
                          <w:top w:val="single" w:sz="12" w:space="0" w:color="auto"/>
                          <w:left w:val="nil"/>
                          <w:bottom w:val="single" w:sz="4" w:space="0" w:color="auto"/>
                          <w:right w:val="nil"/>
                        </w:tcBorders>
                        <w:shd w:val="clear" w:color="auto" w:fill="A6A6A6"/>
                      </w:tcPr>
                      <w:p w:rsidR="00166213" w:rsidRDefault="00166213">
                        <w:pPr>
                          <w:rPr>
                            <w:rFonts w:ascii="Arial" w:hAnsi="Arial" w:cs="Arial"/>
                            <w:bCs/>
                            <w:color w:val="000000"/>
                            <w:sz w:val="18"/>
                            <w:szCs w:val="18"/>
                            <w:lang w:eastAsia="en-US"/>
                          </w:rPr>
                        </w:pPr>
                      </w:p>
                    </w:tc>
                    <w:tc>
                      <w:tcPr>
                        <w:tcW w:w="1077" w:type="dxa"/>
                        <w:tcBorders>
                          <w:top w:val="single" w:sz="12" w:space="0" w:color="auto"/>
                          <w:left w:val="nil"/>
                          <w:bottom w:val="single" w:sz="4" w:space="0" w:color="auto"/>
                          <w:right w:val="nil"/>
                        </w:tcBorders>
                        <w:shd w:val="clear" w:color="auto" w:fill="A6A6A6"/>
                      </w:tcPr>
                      <w:p w:rsidR="00166213" w:rsidRDefault="00166213">
                        <w:pPr>
                          <w:rPr>
                            <w:rFonts w:ascii="Arial" w:hAnsi="Arial" w:cs="Arial"/>
                            <w:bCs/>
                            <w:color w:val="000000"/>
                            <w:sz w:val="18"/>
                            <w:szCs w:val="18"/>
                            <w:lang w:eastAsia="en-US"/>
                          </w:rPr>
                        </w:pPr>
                      </w:p>
                    </w:tc>
                    <w:tc>
                      <w:tcPr>
                        <w:tcW w:w="1363" w:type="dxa"/>
                        <w:tcBorders>
                          <w:top w:val="single" w:sz="12" w:space="0" w:color="auto"/>
                          <w:left w:val="nil"/>
                          <w:bottom w:val="single" w:sz="4" w:space="0" w:color="auto"/>
                          <w:right w:val="nil"/>
                        </w:tcBorders>
                        <w:shd w:val="clear" w:color="auto" w:fill="A6A6A6"/>
                      </w:tcPr>
                      <w:p w:rsidR="00166213" w:rsidRDefault="00166213">
                        <w:pPr>
                          <w:rPr>
                            <w:rFonts w:ascii="Arial" w:hAnsi="Arial" w:cs="Arial"/>
                            <w:color w:val="000000"/>
                            <w:sz w:val="18"/>
                            <w:szCs w:val="18"/>
                            <w:lang w:eastAsia="en-US"/>
                          </w:rPr>
                        </w:pPr>
                      </w:p>
                    </w:tc>
                    <w:tc>
                      <w:tcPr>
                        <w:tcW w:w="1517" w:type="dxa"/>
                        <w:tcBorders>
                          <w:top w:val="single" w:sz="12" w:space="0" w:color="auto"/>
                          <w:left w:val="nil"/>
                          <w:bottom w:val="single" w:sz="4" w:space="0" w:color="auto"/>
                          <w:right w:val="single" w:sz="4" w:space="0" w:color="auto"/>
                        </w:tcBorders>
                        <w:shd w:val="clear" w:color="auto" w:fill="A6A6A6"/>
                      </w:tcPr>
                      <w:p w:rsidR="00166213" w:rsidRDefault="00166213">
                        <w:pPr>
                          <w:rPr>
                            <w:rFonts w:ascii="Arial" w:hAnsi="Arial" w:cs="Arial"/>
                            <w:bCs/>
                            <w:color w:val="000000"/>
                            <w:sz w:val="18"/>
                            <w:szCs w:val="18"/>
                            <w:lang w:eastAsia="en-US"/>
                          </w:rPr>
                        </w:pPr>
                      </w:p>
                    </w:tc>
                  </w:tr>
                  <w:tr w:rsidR="00166213">
                    <w:tc>
                      <w:tcPr>
                        <w:tcW w:w="1728"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181</w:t>
                        </w:r>
                      </w:p>
                    </w:tc>
                    <w:tc>
                      <w:tcPr>
                        <w:tcW w:w="1450" w:type="dxa"/>
                        <w:tcBorders>
                          <w:top w:val="single" w:sz="4" w:space="0" w:color="auto"/>
                          <w:left w:val="single" w:sz="4" w:space="0" w:color="auto"/>
                          <w:bottom w:val="single" w:sz="4" w:space="0" w:color="auto"/>
                          <w:right w:val="single" w:sz="4" w:space="0" w:color="auto"/>
                        </w:tcBorders>
                        <w:hideMark/>
                      </w:tcPr>
                      <w:p w:rsidR="00166213" w:rsidRDefault="00166213" w:rsidP="00166213">
                        <w:pPr>
                          <w:tabs>
                            <w:tab w:val="left" w:pos="1200"/>
                          </w:tabs>
                          <w:rPr>
                            <w:rFonts w:ascii="Arial" w:hAnsi="Arial" w:cs="Arial"/>
                            <w:color w:val="000000"/>
                            <w:sz w:val="18"/>
                            <w:szCs w:val="18"/>
                            <w:lang w:eastAsia="en-US"/>
                          </w:rPr>
                        </w:pPr>
                        <w:r>
                          <w:rPr>
                            <w:rFonts w:ascii="Arial" w:hAnsi="Arial" w:cs="Arial"/>
                            <w:color w:val="000000"/>
                            <w:sz w:val="18"/>
                            <w:szCs w:val="18"/>
                          </w:rPr>
                          <w:t>1,697,291</w:t>
                        </w:r>
                      </w:p>
                    </w:tc>
                    <w:tc>
                      <w:tcPr>
                        <w:tcW w:w="1387" w:type="dxa"/>
                        <w:tcBorders>
                          <w:top w:val="single" w:sz="4" w:space="0" w:color="auto"/>
                          <w:left w:val="single" w:sz="4" w:space="0" w:color="auto"/>
                          <w:bottom w:val="single" w:sz="4" w:space="0" w:color="auto"/>
                          <w:right w:val="single" w:sz="4" w:space="0" w:color="auto"/>
                        </w:tcBorders>
                        <w:hideMark/>
                      </w:tcPr>
                      <w:p w:rsidR="00166213" w:rsidRDefault="00166213" w:rsidP="00166213">
                        <w:pPr>
                          <w:rPr>
                            <w:rFonts w:ascii="Arial" w:hAnsi="Arial" w:cs="Arial"/>
                            <w:color w:val="000000"/>
                            <w:sz w:val="18"/>
                            <w:szCs w:val="18"/>
                            <w:lang w:eastAsia="en-US"/>
                          </w:rPr>
                        </w:pPr>
                        <w:r>
                          <w:rPr>
                            <w:rFonts w:ascii="Arial" w:hAnsi="Arial" w:cs="Arial"/>
                            <w:color w:val="000000"/>
                            <w:sz w:val="18"/>
                            <w:szCs w:val="18"/>
                          </w:rPr>
                          <w:t>1,697,291</w:t>
                        </w:r>
                      </w:p>
                    </w:tc>
                    <w:tc>
                      <w:tcPr>
                        <w:tcW w:w="1077"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~100</w:t>
                        </w:r>
                      </w:p>
                    </w:tc>
                    <w:tc>
                      <w:tcPr>
                        <w:tcW w:w="1363"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Least Concern</w:t>
                        </w:r>
                      </w:p>
                    </w:tc>
                    <w:tc>
                      <w:tcPr>
                        <w:tcW w:w="1517"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2.4</w:t>
                        </w:r>
                      </w:p>
                    </w:tc>
                  </w:tr>
                  <w:tr w:rsidR="00166213">
                    <w:tc>
                      <w:tcPr>
                        <w:tcW w:w="1728" w:type="dxa"/>
                        <w:tcBorders>
                          <w:top w:val="single" w:sz="12" w:space="0" w:color="auto"/>
                          <w:left w:val="single" w:sz="4" w:space="0" w:color="auto"/>
                          <w:bottom w:val="single" w:sz="4" w:space="0" w:color="auto"/>
                          <w:right w:val="nil"/>
                        </w:tcBorders>
                        <w:shd w:val="clear" w:color="auto" w:fill="A6A6A6"/>
                        <w:hideMark/>
                      </w:tcPr>
                      <w:p w:rsidR="00166213" w:rsidRDefault="00166213">
                        <w:pPr>
                          <w:rPr>
                            <w:rFonts w:ascii="Arial" w:hAnsi="Arial" w:cs="Arial"/>
                            <w:color w:val="000000"/>
                            <w:sz w:val="18"/>
                            <w:szCs w:val="18"/>
                            <w:lang w:eastAsia="en-US"/>
                          </w:rPr>
                        </w:pPr>
                        <w:r>
                          <w:rPr>
                            <w:rFonts w:ascii="Arial" w:hAnsi="Arial" w:cs="Arial"/>
                            <w:color w:val="000000"/>
                            <w:sz w:val="18"/>
                            <w:szCs w:val="18"/>
                          </w:rPr>
                          <w:t>Beard veg assoc. – Bioregion</w:t>
                        </w:r>
                      </w:p>
                    </w:tc>
                    <w:tc>
                      <w:tcPr>
                        <w:tcW w:w="1450" w:type="dxa"/>
                        <w:tcBorders>
                          <w:top w:val="single" w:sz="12" w:space="0" w:color="auto"/>
                          <w:left w:val="nil"/>
                          <w:bottom w:val="single" w:sz="4" w:space="0" w:color="auto"/>
                          <w:right w:val="nil"/>
                        </w:tcBorders>
                        <w:shd w:val="clear" w:color="auto" w:fill="A6A6A6"/>
                      </w:tcPr>
                      <w:p w:rsidR="00166213" w:rsidRDefault="00166213">
                        <w:pPr>
                          <w:rPr>
                            <w:rFonts w:ascii="Arial" w:hAnsi="Arial" w:cs="Arial"/>
                            <w:color w:val="000000"/>
                            <w:sz w:val="18"/>
                            <w:szCs w:val="18"/>
                            <w:lang w:eastAsia="en-US"/>
                          </w:rPr>
                        </w:pPr>
                      </w:p>
                    </w:tc>
                    <w:tc>
                      <w:tcPr>
                        <w:tcW w:w="1387" w:type="dxa"/>
                        <w:tcBorders>
                          <w:top w:val="single" w:sz="12" w:space="0" w:color="auto"/>
                          <w:left w:val="nil"/>
                          <w:bottom w:val="single" w:sz="4" w:space="0" w:color="auto"/>
                          <w:right w:val="nil"/>
                        </w:tcBorders>
                        <w:shd w:val="clear" w:color="auto" w:fill="A6A6A6"/>
                      </w:tcPr>
                      <w:p w:rsidR="00166213" w:rsidRDefault="00166213">
                        <w:pPr>
                          <w:rPr>
                            <w:rFonts w:ascii="Arial" w:hAnsi="Arial" w:cs="Arial"/>
                            <w:color w:val="000000"/>
                            <w:sz w:val="18"/>
                            <w:szCs w:val="18"/>
                            <w:lang w:eastAsia="en-US"/>
                          </w:rPr>
                        </w:pPr>
                      </w:p>
                    </w:tc>
                    <w:tc>
                      <w:tcPr>
                        <w:tcW w:w="1077" w:type="dxa"/>
                        <w:tcBorders>
                          <w:top w:val="single" w:sz="12" w:space="0" w:color="auto"/>
                          <w:left w:val="nil"/>
                          <w:bottom w:val="single" w:sz="4" w:space="0" w:color="auto"/>
                          <w:right w:val="nil"/>
                        </w:tcBorders>
                        <w:shd w:val="clear" w:color="auto" w:fill="A6A6A6"/>
                      </w:tcPr>
                      <w:p w:rsidR="00166213" w:rsidRDefault="00166213">
                        <w:pPr>
                          <w:rPr>
                            <w:rFonts w:ascii="Arial" w:hAnsi="Arial" w:cs="Arial"/>
                            <w:color w:val="000000"/>
                            <w:sz w:val="18"/>
                            <w:szCs w:val="18"/>
                            <w:lang w:eastAsia="en-US"/>
                          </w:rPr>
                        </w:pPr>
                      </w:p>
                    </w:tc>
                    <w:tc>
                      <w:tcPr>
                        <w:tcW w:w="1363" w:type="dxa"/>
                        <w:tcBorders>
                          <w:top w:val="single" w:sz="12" w:space="0" w:color="auto"/>
                          <w:left w:val="nil"/>
                          <w:bottom w:val="single" w:sz="4" w:space="0" w:color="auto"/>
                          <w:right w:val="nil"/>
                        </w:tcBorders>
                        <w:shd w:val="clear" w:color="auto" w:fill="A6A6A6"/>
                      </w:tcPr>
                      <w:p w:rsidR="00166213" w:rsidRDefault="00166213">
                        <w:pPr>
                          <w:rPr>
                            <w:rFonts w:ascii="Arial" w:hAnsi="Arial" w:cs="Arial"/>
                            <w:color w:val="000000"/>
                            <w:sz w:val="18"/>
                            <w:szCs w:val="18"/>
                            <w:lang w:eastAsia="en-US"/>
                          </w:rPr>
                        </w:pPr>
                      </w:p>
                    </w:tc>
                    <w:tc>
                      <w:tcPr>
                        <w:tcW w:w="1517" w:type="dxa"/>
                        <w:tcBorders>
                          <w:top w:val="single" w:sz="12" w:space="0" w:color="auto"/>
                          <w:left w:val="nil"/>
                          <w:bottom w:val="single" w:sz="4" w:space="0" w:color="auto"/>
                          <w:right w:val="single" w:sz="4" w:space="0" w:color="auto"/>
                        </w:tcBorders>
                        <w:shd w:val="clear" w:color="auto" w:fill="A6A6A6"/>
                      </w:tcPr>
                      <w:p w:rsidR="00166213" w:rsidRDefault="00166213">
                        <w:pPr>
                          <w:rPr>
                            <w:rFonts w:ascii="Arial" w:hAnsi="Arial" w:cs="Arial"/>
                            <w:color w:val="000000"/>
                            <w:sz w:val="18"/>
                            <w:szCs w:val="18"/>
                            <w:lang w:eastAsia="en-US"/>
                          </w:rPr>
                        </w:pPr>
                      </w:p>
                    </w:tc>
                  </w:tr>
                  <w:tr w:rsidR="00166213">
                    <w:tc>
                      <w:tcPr>
                        <w:tcW w:w="1728"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181</w:t>
                        </w:r>
                      </w:p>
                    </w:tc>
                    <w:tc>
                      <w:tcPr>
                        <w:tcW w:w="1450" w:type="dxa"/>
                        <w:tcBorders>
                          <w:top w:val="single" w:sz="4" w:space="0" w:color="auto"/>
                          <w:left w:val="single" w:sz="4" w:space="0" w:color="auto"/>
                          <w:bottom w:val="single" w:sz="4" w:space="0" w:color="auto"/>
                          <w:right w:val="single" w:sz="4" w:space="0" w:color="auto"/>
                        </w:tcBorders>
                        <w:hideMark/>
                      </w:tcPr>
                      <w:p w:rsidR="00166213" w:rsidRDefault="00166213">
                        <w:pPr>
                          <w:tabs>
                            <w:tab w:val="left" w:pos="1200"/>
                          </w:tabs>
                          <w:rPr>
                            <w:rFonts w:ascii="Arial" w:hAnsi="Arial" w:cs="Arial"/>
                            <w:color w:val="000000"/>
                            <w:sz w:val="18"/>
                            <w:szCs w:val="18"/>
                            <w:lang w:eastAsia="en-US"/>
                          </w:rPr>
                        </w:pPr>
                        <w:r>
                          <w:rPr>
                            <w:rFonts w:ascii="Arial" w:hAnsi="Arial" w:cs="Arial"/>
                            <w:color w:val="000000"/>
                            <w:sz w:val="18"/>
                            <w:szCs w:val="18"/>
                          </w:rPr>
                          <w:t>65,091</w:t>
                        </w:r>
                      </w:p>
                    </w:tc>
                    <w:tc>
                      <w:tcPr>
                        <w:tcW w:w="1387"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65,091</w:t>
                        </w:r>
                      </w:p>
                    </w:tc>
                    <w:tc>
                      <w:tcPr>
                        <w:tcW w:w="1077"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~100</w:t>
                        </w:r>
                      </w:p>
                    </w:tc>
                    <w:tc>
                      <w:tcPr>
                        <w:tcW w:w="1363"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Least Concern</w:t>
                        </w:r>
                      </w:p>
                    </w:tc>
                    <w:tc>
                      <w:tcPr>
                        <w:tcW w:w="1517" w:type="dxa"/>
                        <w:tcBorders>
                          <w:top w:val="single" w:sz="4" w:space="0" w:color="auto"/>
                          <w:left w:val="single" w:sz="4" w:space="0" w:color="auto"/>
                          <w:bottom w:val="single" w:sz="4" w:space="0" w:color="auto"/>
                          <w:right w:val="single" w:sz="4" w:space="0" w:color="auto"/>
                        </w:tcBorders>
                        <w:hideMark/>
                      </w:tcPr>
                      <w:p w:rsidR="00166213" w:rsidRDefault="00166213">
                        <w:pPr>
                          <w:rPr>
                            <w:rFonts w:ascii="Arial" w:hAnsi="Arial" w:cs="Arial"/>
                            <w:color w:val="000000"/>
                            <w:sz w:val="18"/>
                            <w:szCs w:val="18"/>
                            <w:lang w:eastAsia="en-US"/>
                          </w:rPr>
                        </w:pPr>
                        <w:r>
                          <w:rPr>
                            <w:rFonts w:ascii="Arial" w:hAnsi="Arial" w:cs="Arial"/>
                            <w:color w:val="000000"/>
                            <w:sz w:val="18"/>
                            <w:szCs w:val="18"/>
                          </w:rPr>
                          <w:t>4.9</w:t>
                        </w:r>
                      </w:p>
                    </w:tc>
                  </w:tr>
                </w:tbl>
                <w:p w:rsidR="00166213" w:rsidRDefault="00166213">
                  <w:pPr>
                    <w:tabs>
                      <w:tab w:val="left" w:pos="2444"/>
                      <w:tab w:val="left" w:pos="3720"/>
                      <w:tab w:val="center" w:pos="5279"/>
                      <w:tab w:val="left" w:pos="5988"/>
                      <w:tab w:val="left" w:pos="7405"/>
                    </w:tabs>
                    <w:rPr>
                      <w:rFonts w:ascii="Arial" w:hAnsi="Arial"/>
                      <w:sz w:val="18"/>
                      <w:lang w:eastAsia="en-US"/>
                    </w:rPr>
                  </w:pPr>
                </w:p>
                <w:p w:rsidR="00166213" w:rsidRDefault="00166213">
                  <w:pPr>
                    <w:tabs>
                      <w:tab w:val="left" w:pos="2444"/>
                      <w:tab w:val="left" w:pos="3720"/>
                      <w:tab w:val="center" w:pos="5279"/>
                      <w:tab w:val="left" w:pos="5988"/>
                      <w:tab w:val="left" w:pos="7405"/>
                    </w:tabs>
                    <w:rPr>
                      <w:rFonts w:ascii="Arial" w:hAnsi="Arial"/>
                      <w:sz w:val="18"/>
                    </w:rPr>
                  </w:pPr>
                  <w:r>
                    <w:rPr>
                      <w:rFonts w:ascii="Arial" w:hAnsi="Arial"/>
                      <w:sz w:val="18"/>
                    </w:rPr>
                    <w:t xml:space="preserve">* Shepherd (2007) </w:t>
                  </w:r>
                </w:p>
                <w:p w:rsidR="00166213" w:rsidRDefault="00166213">
                  <w:pPr>
                    <w:tabs>
                      <w:tab w:val="left" w:pos="2444"/>
                      <w:tab w:val="left" w:pos="3720"/>
                      <w:tab w:val="center" w:pos="5279"/>
                      <w:tab w:val="left" w:pos="5988"/>
                      <w:tab w:val="left" w:pos="7405"/>
                    </w:tabs>
                    <w:rPr>
                      <w:rFonts w:ascii="Arial" w:hAnsi="Arial"/>
                      <w:sz w:val="18"/>
                    </w:rPr>
                  </w:pPr>
                  <w:r>
                    <w:rPr>
                      <w:rFonts w:ascii="Arial" w:hAnsi="Arial"/>
                      <w:sz w:val="18"/>
                    </w:rPr>
                    <w:t>** Department of Natural Resources and Environment (2002)</w:t>
                  </w:r>
                </w:p>
                <w:p w:rsidR="00166213" w:rsidRDefault="00166213">
                  <w:pPr>
                    <w:tabs>
                      <w:tab w:val="left" w:pos="2444"/>
                      <w:tab w:val="left" w:pos="3720"/>
                      <w:tab w:val="center" w:pos="5279"/>
                      <w:tab w:val="left" w:pos="5988"/>
                      <w:tab w:val="left" w:pos="7405"/>
                    </w:tabs>
                    <w:rPr>
                      <w:rFonts w:ascii="Arial" w:hAnsi="Arial"/>
                      <w:sz w:val="18"/>
                    </w:rPr>
                  </w:pPr>
                </w:p>
                <w:p w:rsidR="00166213" w:rsidRDefault="00166213">
                  <w:pPr>
                    <w:tabs>
                      <w:tab w:val="left" w:pos="2444"/>
                      <w:tab w:val="left" w:pos="3720"/>
                      <w:tab w:val="center" w:pos="5279"/>
                      <w:tab w:val="left" w:pos="5988"/>
                      <w:tab w:val="left" w:pos="7405"/>
                    </w:tabs>
                    <w:rPr>
                      <w:rFonts w:ascii="Arial" w:hAnsi="Arial"/>
                      <w:sz w:val="18"/>
                    </w:rPr>
                  </w:pPr>
                  <w:r>
                    <w:rPr>
                      <w:rFonts w:ascii="Arial" w:hAnsi="Arial"/>
                      <w:sz w:val="18"/>
                    </w:rPr>
                    <w:t>Based on the above, the proposed clearing is not at variance to this Principle.</w:t>
                  </w:r>
                </w:p>
                <w:p w:rsidR="00166213" w:rsidRDefault="00166213">
                  <w:pPr>
                    <w:tabs>
                      <w:tab w:val="left" w:pos="2444"/>
                      <w:tab w:val="left" w:pos="3720"/>
                      <w:tab w:val="center" w:pos="5279"/>
                      <w:tab w:val="left" w:pos="5988"/>
                      <w:tab w:val="left" w:pos="7405"/>
                    </w:tabs>
                    <w:rPr>
                      <w:rFonts w:ascii="Arial" w:hAnsi="Arial"/>
                      <w:sz w:val="18"/>
                      <w:lang w:eastAsia="en-US"/>
                    </w:rPr>
                  </w:pPr>
                </w:p>
              </w:tc>
            </w:tr>
          </w:tbl>
          <w:p w:rsidR="00D12AB0" w:rsidRDefault="00D12AB0">
            <w:pPr>
              <w:pStyle w:val="table"/>
              <w:keepLines/>
              <w:tabs>
                <w:tab w:val="clear" w:pos="426"/>
                <w:tab w:val="left" w:pos="2410"/>
                <w:tab w:val="left" w:pos="3657"/>
                <w:tab w:val="center" w:pos="5273"/>
                <w:tab w:val="left" w:pos="5988"/>
                <w:tab w:val="left" w:pos="7830"/>
              </w:tabs>
            </w:pPr>
          </w:p>
        </w:tc>
      </w:tr>
      <w:tr w:rsidR="00D12AB0">
        <w:tc>
          <w:tcPr>
            <w:tcW w:w="1242" w:type="dxa"/>
          </w:tcPr>
          <w:p w:rsidR="00D12AB0" w:rsidRDefault="00D12AB0">
            <w:pPr>
              <w:pStyle w:val="table"/>
              <w:keepLines/>
              <w:tabs>
                <w:tab w:val="clear" w:pos="426"/>
                <w:tab w:val="left" w:pos="2552"/>
              </w:tabs>
              <w:rPr>
                <w:b/>
                <w:sz w:val="16"/>
              </w:rPr>
            </w:pPr>
            <w:r>
              <w:rPr>
                <w:b/>
                <w:sz w:val="16"/>
              </w:rPr>
              <w:lastRenderedPageBreak/>
              <w:t>Methodology</w:t>
            </w:r>
          </w:p>
        </w:tc>
        <w:tc>
          <w:tcPr>
            <w:tcW w:w="9072" w:type="dxa"/>
          </w:tcPr>
          <w:p w:rsidR="008F0889" w:rsidRDefault="008F0889">
            <w:pPr>
              <w:pStyle w:val="table"/>
              <w:keepLines/>
              <w:tabs>
                <w:tab w:val="clear" w:pos="426"/>
                <w:tab w:val="left" w:pos="2552"/>
              </w:tabs>
            </w:pPr>
            <w:r>
              <w:t>Department of Natural Resources and Environment (2002)</w:t>
            </w:r>
          </w:p>
          <w:p w:rsidR="008F0889" w:rsidRDefault="008F0889">
            <w:pPr>
              <w:pStyle w:val="table"/>
              <w:keepLines/>
              <w:tabs>
                <w:tab w:val="clear" w:pos="426"/>
                <w:tab w:val="left" w:pos="2552"/>
              </w:tabs>
            </w:pPr>
            <w:r>
              <w:t>Shepherd (2007)</w:t>
            </w:r>
          </w:p>
          <w:p w:rsidR="008F0889" w:rsidRDefault="008F0889">
            <w:pPr>
              <w:pStyle w:val="table"/>
              <w:keepLines/>
              <w:tabs>
                <w:tab w:val="clear" w:pos="426"/>
                <w:tab w:val="left" w:pos="2552"/>
              </w:tabs>
            </w:pPr>
            <w:r>
              <w:t>GIS Database:</w:t>
            </w:r>
          </w:p>
          <w:p w:rsidR="008F0889" w:rsidRDefault="008F0889">
            <w:pPr>
              <w:pStyle w:val="table"/>
              <w:keepLines/>
              <w:tabs>
                <w:tab w:val="clear" w:pos="426"/>
                <w:tab w:val="left" w:pos="2552"/>
              </w:tabs>
            </w:pPr>
            <w:r>
              <w:t xml:space="preserve">- </w:t>
            </w:r>
            <w:r w:rsidR="00166213" w:rsidRPr="00166213">
              <w:t>IBRA WA (Regions - Sub Regions)</w:t>
            </w:r>
          </w:p>
          <w:p w:rsidR="00D12AB0" w:rsidRDefault="008F0889">
            <w:pPr>
              <w:pStyle w:val="table"/>
              <w:keepLines/>
              <w:tabs>
                <w:tab w:val="clear" w:pos="426"/>
                <w:tab w:val="left" w:pos="2552"/>
              </w:tabs>
            </w:pPr>
            <w:r>
              <w:t>- Pre-European Vegetation - DA 01/01</w:t>
            </w:r>
          </w:p>
        </w:tc>
      </w:tr>
    </w:tbl>
    <w:p w:rsidR="00D12AB0" w:rsidRDefault="00D12AB0">
      <w:pPr>
        <w:pStyle w:val="spacer"/>
      </w:pPr>
    </w:p>
    <w:p w:rsidR="00D12AB0" w:rsidRDefault="00D12AB0">
      <w:pPr>
        <w:rPr>
          <w:sz w:val="10"/>
        </w:rPr>
      </w:pPr>
    </w:p>
    <w:p w:rsidR="00D12AB0" w:rsidRDefault="00D12AB0">
      <w:pPr>
        <w:pStyle w:val="Heading4"/>
        <w:keepLines/>
        <w:shd w:val="pct10" w:color="auto" w:fill="FFFFFF"/>
      </w:pPr>
      <w:r>
        <w:t>(f)</w:t>
      </w:r>
      <w:r>
        <w:tab/>
        <w:t>Native vegetation should not be cleared if it is growing in, or in association with, an environment associated with a watercourse or wetland.</w:t>
      </w:r>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8F0889">
            <w:pPr>
              <w:keepNext/>
              <w:keepLines/>
              <w:ind w:right="-109"/>
              <w:rPr>
                <w:rFonts w:ascii="Arial" w:hAnsi="Arial"/>
                <w:b/>
                <w:i/>
                <w:sz w:val="18"/>
              </w:rPr>
            </w:pPr>
            <w:r>
              <w:rPr>
                <w:rFonts w:ascii="Arial" w:hAnsi="Arial"/>
                <w:b/>
                <w:sz w:val="20"/>
              </w:rPr>
              <w:t>Proposal may be at variance to this Principle</w:t>
            </w:r>
          </w:p>
        </w:tc>
      </w:tr>
      <w:tr w:rsidR="00D12AB0">
        <w:tc>
          <w:tcPr>
            <w:tcW w:w="1242" w:type="dxa"/>
          </w:tcPr>
          <w:p w:rsidR="00D12AB0" w:rsidRDefault="00D12AB0">
            <w:pPr>
              <w:pStyle w:val="table"/>
              <w:keepLines/>
              <w:tabs>
                <w:tab w:val="clear" w:pos="426"/>
                <w:tab w:val="left" w:pos="2552"/>
              </w:tabs>
              <w:rPr>
                <w:b/>
                <w:sz w:val="16"/>
              </w:rPr>
            </w:pPr>
          </w:p>
        </w:tc>
        <w:tc>
          <w:tcPr>
            <w:tcW w:w="9072" w:type="dxa"/>
          </w:tcPr>
          <w:p w:rsidR="008F0889" w:rsidRDefault="008F0889">
            <w:pPr>
              <w:pStyle w:val="table"/>
              <w:keepLines/>
              <w:tabs>
                <w:tab w:val="clear" w:pos="426"/>
                <w:tab w:val="left" w:pos="2552"/>
              </w:tabs>
            </w:pPr>
            <w:r>
              <w:t>There are no permanent wetlands or watercourses within the areas applied to clear (GIS database). The proponent has advised that the vegetation to be cleared is not associated with any major watercourses, wetlands or wetland dependent vegetation (Keith Lindbeck and Associates, 2007a).  Several ephemeral creek systems have been recorded within the application area (GIS database).  These creek systems largely act as minor drainage lines and are widespread across the Pilbara region (GIS database).</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The closest watercourse is Seven Mile Creek which is located approximately 2.8 kilometres south-east of the application area (GIS Database). The vegetation proposed to be cleared is unlikely to be regarded as a significant buffer to the nearest watercourse. </w:t>
            </w:r>
          </w:p>
          <w:p w:rsidR="008F0889" w:rsidRDefault="008F0889">
            <w:pPr>
              <w:pStyle w:val="table"/>
              <w:keepLines/>
              <w:tabs>
                <w:tab w:val="clear" w:pos="426"/>
                <w:tab w:val="left" w:pos="2552"/>
              </w:tabs>
            </w:pPr>
          </w:p>
          <w:p w:rsidR="00D12AB0" w:rsidRDefault="008F0889">
            <w:pPr>
              <w:pStyle w:val="table"/>
              <w:keepLines/>
              <w:tabs>
                <w:tab w:val="clear" w:pos="426"/>
                <w:tab w:val="left" w:pos="2552"/>
              </w:tabs>
            </w:pPr>
            <w:r>
              <w:t xml:space="preserve">As there are watercourses within the application area, the proposed clearing may be at variance to this Principle.  These watercourses are minor, natural drainage channels that are widespread across the Pilbara landscape (GIS database), and are responsible for quickly dispersing floodwaters after significant rainfall events.  The vegetation communities growing in association with the watercourses are not unique and are considered common and widespread in the Pilbara bioregion (Keith Lindbeck </w:t>
            </w:r>
            <w:r w:rsidR="004A0DDE">
              <w:t xml:space="preserve">and Associates, 2007a; Shepherd, </w:t>
            </w:r>
            <w:r>
              <w:t>200</w:t>
            </w:r>
            <w:r w:rsidR="004A0DDE">
              <w:t>7</w:t>
            </w:r>
            <w:r>
              <w:t>; GIS Database).  The proposed clearing is unlikely to significantly impact on vegetation communities growing in association with these minor ephemeral creek systems.</w:t>
            </w:r>
          </w:p>
          <w:p w:rsidR="00D12AB0" w:rsidRDefault="00D12AB0">
            <w:pPr>
              <w:pStyle w:val="table"/>
              <w:keepLines/>
              <w:tabs>
                <w:tab w:val="clear" w:pos="426"/>
                <w:tab w:val="left" w:pos="2552"/>
              </w:tabs>
            </w:pPr>
          </w:p>
        </w:tc>
      </w:tr>
      <w:tr w:rsidR="00D12AB0">
        <w:tc>
          <w:tcPr>
            <w:tcW w:w="1242" w:type="dxa"/>
          </w:tcPr>
          <w:p w:rsidR="00D12AB0" w:rsidRDefault="00D12AB0">
            <w:pPr>
              <w:pStyle w:val="table"/>
              <w:keepLines/>
              <w:tabs>
                <w:tab w:val="clear" w:pos="426"/>
                <w:tab w:val="left" w:pos="2552"/>
              </w:tabs>
              <w:rPr>
                <w:b/>
                <w:sz w:val="16"/>
              </w:rPr>
            </w:pPr>
            <w:r>
              <w:rPr>
                <w:b/>
                <w:sz w:val="16"/>
              </w:rPr>
              <w:t>Methodology</w:t>
            </w:r>
          </w:p>
        </w:tc>
        <w:tc>
          <w:tcPr>
            <w:tcW w:w="9072" w:type="dxa"/>
          </w:tcPr>
          <w:p w:rsidR="008F0889" w:rsidRDefault="008F0889">
            <w:pPr>
              <w:pStyle w:val="table"/>
              <w:keepLines/>
              <w:tabs>
                <w:tab w:val="clear" w:pos="426"/>
                <w:tab w:val="left" w:pos="2552"/>
              </w:tabs>
            </w:pPr>
            <w:r>
              <w:t>Keith Lindbeck and Associates (2007a)</w:t>
            </w:r>
          </w:p>
          <w:p w:rsidR="008F0889" w:rsidRDefault="008F0889">
            <w:pPr>
              <w:pStyle w:val="table"/>
              <w:keepLines/>
              <w:tabs>
                <w:tab w:val="clear" w:pos="426"/>
                <w:tab w:val="left" w:pos="2552"/>
              </w:tabs>
            </w:pPr>
            <w:r>
              <w:t>Shepherd (2007)</w:t>
            </w:r>
          </w:p>
          <w:p w:rsidR="008F0889" w:rsidRDefault="008F0889">
            <w:pPr>
              <w:pStyle w:val="table"/>
              <w:keepLines/>
              <w:tabs>
                <w:tab w:val="clear" w:pos="426"/>
                <w:tab w:val="left" w:pos="2552"/>
              </w:tabs>
            </w:pPr>
            <w:r>
              <w:t>GIS Database:</w:t>
            </w:r>
          </w:p>
          <w:p w:rsidR="008F0889" w:rsidRDefault="008F0889">
            <w:pPr>
              <w:pStyle w:val="table"/>
              <w:keepLines/>
              <w:tabs>
                <w:tab w:val="clear" w:pos="426"/>
                <w:tab w:val="left" w:pos="2552"/>
              </w:tabs>
            </w:pPr>
            <w:r>
              <w:t>- Hydrography, linear_1</w:t>
            </w:r>
          </w:p>
          <w:p w:rsidR="00D12AB0" w:rsidRDefault="008F0889">
            <w:pPr>
              <w:pStyle w:val="table"/>
              <w:keepLines/>
              <w:tabs>
                <w:tab w:val="clear" w:pos="426"/>
                <w:tab w:val="left" w:pos="2552"/>
              </w:tabs>
            </w:pPr>
            <w:r>
              <w:t>- Hydrography, linear (hierarchy)</w:t>
            </w:r>
          </w:p>
        </w:tc>
      </w:tr>
    </w:tbl>
    <w:p w:rsidR="00D12AB0" w:rsidRDefault="00D12AB0">
      <w:pPr>
        <w:rPr>
          <w:sz w:val="10"/>
        </w:rPr>
      </w:pPr>
    </w:p>
    <w:p w:rsidR="00D12AB0" w:rsidRDefault="00D12AB0">
      <w:pPr>
        <w:pStyle w:val="Heading4"/>
        <w:keepLines/>
        <w:shd w:val="pct10" w:color="auto" w:fill="FFFFFF"/>
      </w:pPr>
      <w:r>
        <w:t>(g)</w:t>
      </w:r>
      <w:r>
        <w:tab/>
        <w:t>Native vegetation should not be cleared if the clearing of the vegetation is likely to cause appreciable land degradation.</w:t>
      </w:r>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8F0889">
            <w:pPr>
              <w:keepNext/>
              <w:keepLines/>
              <w:ind w:right="-109"/>
              <w:rPr>
                <w:rFonts w:ascii="Arial" w:hAnsi="Arial"/>
                <w:b/>
                <w:i/>
                <w:sz w:val="18"/>
              </w:rPr>
            </w:pPr>
            <w:r>
              <w:rPr>
                <w:rFonts w:ascii="Arial" w:hAnsi="Arial"/>
                <w:b/>
                <w:sz w:val="20"/>
              </w:rPr>
              <w:t>Proposal is not likely to be at variance to this Principle</w:t>
            </w:r>
          </w:p>
        </w:tc>
      </w:tr>
      <w:tr w:rsidR="00D12AB0">
        <w:tc>
          <w:tcPr>
            <w:tcW w:w="1242" w:type="dxa"/>
          </w:tcPr>
          <w:p w:rsidR="00D12AB0" w:rsidRDefault="00D12AB0">
            <w:pPr>
              <w:pStyle w:val="table"/>
              <w:keepLines/>
              <w:tabs>
                <w:tab w:val="clear" w:pos="426"/>
                <w:tab w:val="left" w:pos="2552"/>
              </w:tabs>
              <w:rPr>
                <w:b/>
                <w:sz w:val="16"/>
              </w:rPr>
            </w:pPr>
          </w:p>
        </w:tc>
        <w:tc>
          <w:tcPr>
            <w:tcW w:w="9072" w:type="dxa"/>
          </w:tcPr>
          <w:p w:rsidR="002F5A93" w:rsidRDefault="002F5A93" w:rsidP="002F5A93">
            <w:pPr>
              <w:rPr>
                <w:rFonts w:ascii="Arial" w:hAnsi="Arial"/>
                <w:sz w:val="18"/>
                <w:lang w:eastAsia="en-US"/>
              </w:rPr>
            </w:pPr>
            <w:r>
              <w:rPr>
                <w:rFonts w:ascii="Arial" w:hAnsi="Arial"/>
                <w:sz w:val="18"/>
              </w:rPr>
              <w:t xml:space="preserve">According to the available datasets the application area is characterised by the Newman Land System (GIS Database).   </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The Newman Land System consists of rugged jaspilitic ranges, plateaux, ridges and mountains that characterise and typify much of the Pilbara.  The majority of the vegetation appears to occur on the landform unit ridges, mountains and hills, lower slopes and stony plains.  The soils consist of rocky outcrops and dense </w:t>
            </w:r>
            <w:r>
              <w:lastRenderedPageBreak/>
              <w:t>stony mantles, with little soil development, and dark reddish brown stony silt loams (</w:t>
            </w:r>
            <w:r w:rsidR="002F5A93">
              <w:t>Vreeswyk et al., 2004</w:t>
            </w:r>
            <w:r>
              <w:t>).  The soils are likely to have a high resistance to erosion due to the high occurrence of rock outcrops and stony mantles.</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The Newman Land System has stony surface materials which are likely to show high resistance to erosion (Van Vreeswyk et al., 2004).  The proposed clearing may expose surface mantles which may cause an increase in surface water runoff, however, given the stony nature of the surface materials water and/or wind erosion is unlikely to occur.</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Groundwater salinities have been measured in the range from 500 to 1,000 milligrams/litre Total Dissolved Solids (TDS) (GIS Database). The application area is located within the Turee Creek catchment area which covers an area of approximately 675,000 hectares (Hamersley Iron, 2008).  Rainwater is known to have a large impact on groundwater recharge (Keith Lindbeck and Associates, 2007a).  Paraburdoo, which is situated approximately 7 kilometres north-east of the application area, has mean annual rainfall of 280.8 millimetres and mean annual evaporation of approximately 3,600 millimetres (GIS Database; Keith Lindbeck and Associates, 2007a).  Due to the low rainfall to high evaporation ratio, it is likely that the majority of groundwater recharge would occur following significant rainfall events.  Given the size of the Turee Creek catchment system (675,300 hectares) in relation to the size of the application area (8.2 hectares), and considering the low rainfall to high evaporation ratio, it is unlikely that the proposed clearing will significantly increase groundwater recharge, or that land salinisation will be increased either on or off-site.  </w:t>
            </w:r>
          </w:p>
          <w:p w:rsidR="008F0889" w:rsidRDefault="008F0889">
            <w:pPr>
              <w:pStyle w:val="table"/>
              <w:keepLines/>
              <w:tabs>
                <w:tab w:val="clear" w:pos="426"/>
                <w:tab w:val="left" w:pos="2552"/>
              </w:tabs>
            </w:pPr>
          </w:p>
          <w:p w:rsidR="00D12AB0" w:rsidRDefault="008F0889">
            <w:pPr>
              <w:pStyle w:val="table"/>
              <w:keepLines/>
              <w:tabs>
                <w:tab w:val="clear" w:pos="426"/>
                <w:tab w:val="left" w:pos="2552"/>
              </w:tabs>
            </w:pPr>
            <w:r>
              <w:t>Based on the above, the proposed clearing is not likely to be at variance to this Principle.</w:t>
            </w:r>
          </w:p>
          <w:p w:rsidR="00D12AB0" w:rsidRDefault="00D12AB0">
            <w:pPr>
              <w:pStyle w:val="table"/>
              <w:keepLines/>
              <w:tabs>
                <w:tab w:val="clear" w:pos="426"/>
                <w:tab w:val="left" w:pos="2552"/>
              </w:tabs>
            </w:pPr>
          </w:p>
        </w:tc>
      </w:tr>
      <w:tr w:rsidR="00D12AB0">
        <w:tc>
          <w:tcPr>
            <w:tcW w:w="1242" w:type="dxa"/>
          </w:tcPr>
          <w:p w:rsidR="00D12AB0" w:rsidRDefault="00D12AB0">
            <w:pPr>
              <w:pStyle w:val="table"/>
              <w:keepLines/>
              <w:tabs>
                <w:tab w:val="clear" w:pos="426"/>
                <w:tab w:val="left" w:pos="2552"/>
              </w:tabs>
              <w:rPr>
                <w:b/>
                <w:sz w:val="16"/>
              </w:rPr>
            </w:pPr>
            <w:r>
              <w:rPr>
                <w:b/>
                <w:sz w:val="16"/>
              </w:rPr>
              <w:lastRenderedPageBreak/>
              <w:t>Methodology</w:t>
            </w:r>
          </w:p>
        </w:tc>
        <w:tc>
          <w:tcPr>
            <w:tcW w:w="9072" w:type="dxa"/>
          </w:tcPr>
          <w:p w:rsidR="008F0889" w:rsidRDefault="008F0889">
            <w:pPr>
              <w:pStyle w:val="table"/>
              <w:keepLines/>
              <w:tabs>
                <w:tab w:val="clear" w:pos="426"/>
                <w:tab w:val="left" w:pos="2552"/>
              </w:tabs>
            </w:pPr>
            <w:r>
              <w:t>Keith Lindbeck and Associates (2007a)</w:t>
            </w:r>
          </w:p>
          <w:p w:rsidR="008F0889" w:rsidRDefault="008F0889">
            <w:pPr>
              <w:pStyle w:val="table"/>
              <w:keepLines/>
              <w:tabs>
                <w:tab w:val="clear" w:pos="426"/>
                <w:tab w:val="left" w:pos="2552"/>
              </w:tabs>
            </w:pPr>
            <w:r>
              <w:t>Hamersley Iron (2008)</w:t>
            </w:r>
          </w:p>
          <w:p w:rsidR="008F0889" w:rsidRDefault="008F0889">
            <w:pPr>
              <w:pStyle w:val="table"/>
              <w:keepLines/>
              <w:tabs>
                <w:tab w:val="clear" w:pos="426"/>
                <w:tab w:val="left" w:pos="2552"/>
              </w:tabs>
            </w:pPr>
            <w:r>
              <w:t>Van Vreeswyk et al. (2004)</w:t>
            </w:r>
          </w:p>
          <w:p w:rsidR="008F0889" w:rsidRDefault="008F0889">
            <w:pPr>
              <w:pStyle w:val="table"/>
              <w:keepLines/>
              <w:tabs>
                <w:tab w:val="clear" w:pos="426"/>
                <w:tab w:val="left" w:pos="2552"/>
              </w:tabs>
            </w:pPr>
            <w:r>
              <w:t>GIS Database:</w:t>
            </w:r>
          </w:p>
          <w:p w:rsidR="008F0889" w:rsidRDefault="008F0889">
            <w:pPr>
              <w:pStyle w:val="table"/>
              <w:keepLines/>
              <w:tabs>
                <w:tab w:val="clear" w:pos="426"/>
                <w:tab w:val="left" w:pos="2552"/>
              </w:tabs>
            </w:pPr>
            <w:r>
              <w:t>- Groundwater Salinity, Statewide</w:t>
            </w:r>
          </w:p>
          <w:p w:rsidR="008F0889" w:rsidRDefault="008F0889">
            <w:pPr>
              <w:pStyle w:val="table"/>
              <w:keepLines/>
              <w:tabs>
                <w:tab w:val="clear" w:pos="426"/>
                <w:tab w:val="left" w:pos="2552"/>
              </w:tabs>
            </w:pPr>
            <w:r>
              <w:t>- Rainfall, Mean Annual</w:t>
            </w:r>
            <w:r>
              <w:tab/>
            </w:r>
          </w:p>
          <w:p w:rsidR="00D12AB0" w:rsidRDefault="008F0889">
            <w:pPr>
              <w:pStyle w:val="table"/>
              <w:keepLines/>
              <w:tabs>
                <w:tab w:val="clear" w:pos="426"/>
                <w:tab w:val="left" w:pos="2552"/>
              </w:tabs>
            </w:pPr>
            <w:r>
              <w:t>- Evaporation Isopleths</w:t>
            </w:r>
          </w:p>
        </w:tc>
      </w:tr>
    </w:tbl>
    <w:p w:rsidR="00D12AB0" w:rsidRDefault="00D12AB0">
      <w:pPr>
        <w:rPr>
          <w:sz w:val="10"/>
        </w:rPr>
      </w:pPr>
    </w:p>
    <w:p w:rsidR="00D12AB0" w:rsidRDefault="00D12AB0">
      <w:pPr>
        <w:pStyle w:val="Heading4"/>
        <w:keepLines/>
        <w:shd w:val="pct10" w:color="auto" w:fill="FFFFFF"/>
      </w:pPr>
      <w:r>
        <w:t>(h)</w:t>
      </w:r>
      <w:r>
        <w:tab/>
        <w:t>Native vegetation should not be cleared if the clearing of the vegetation is likely to have an impact on the environmental values of any adjacent or nearby conservation area.</w:t>
      </w:r>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8F0889">
            <w:pPr>
              <w:keepNext/>
              <w:keepLines/>
              <w:ind w:right="-109"/>
              <w:rPr>
                <w:rFonts w:ascii="Arial" w:hAnsi="Arial"/>
                <w:b/>
                <w:i/>
                <w:sz w:val="18"/>
              </w:rPr>
            </w:pPr>
            <w:r>
              <w:rPr>
                <w:rFonts w:ascii="Arial" w:hAnsi="Arial"/>
                <w:b/>
                <w:sz w:val="20"/>
              </w:rPr>
              <w:t>Proposal is not likely to be at variance to this Principle</w:t>
            </w:r>
          </w:p>
        </w:tc>
      </w:tr>
      <w:tr w:rsidR="00D12AB0">
        <w:tc>
          <w:tcPr>
            <w:tcW w:w="1242" w:type="dxa"/>
          </w:tcPr>
          <w:p w:rsidR="00D12AB0" w:rsidRDefault="00D12AB0">
            <w:pPr>
              <w:pStyle w:val="table"/>
              <w:keepLines/>
              <w:tabs>
                <w:tab w:val="clear" w:pos="426"/>
                <w:tab w:val="left" w:pos="2552"/>
              </w:tabs>
              <w:rPr>
                <w:b/>
                <w:sz w:val="16"/>
              </w:rPr>
            </w:pPr>
          </w:p>
        </w:tc>
        <w:tc>
          <w:tcPr>
            <w:tcW w:w="9072" w:type="dxa"/>
          </w:tcPr>
          <w:p w:rsidR="008F0889" w:rsidRDefault="008F0889">
            <w:pPr>
              <w:pStyle w:val="table"/>
              <w:keepLines/>
              <w:tabs>
                <w:tab w:val="clear" w:pos="426"/>
                <w:tab w:val="left" w:pos="2552"/>
              </w:tabs>
            </w:pPr>
            <w:r>
              <w:t>The application area is not located within a Department of Environment and Conservation managed conservation area (GIS Database).  The nearest conservation area is Karijini National Park which is situated approximately 45 kilometres east-northeast of the application area (GIS database; Keith Lindbeck and Associates, 2007a).  Based on the distance between the proposal and the nearest conservation area, the proposed clearing is not likely to impact on the conservation values of Karijini National Park.</w:t>
            </w:r>
          </w:p>
          <w:p w:rsidR="008F0889" w:rsidRDefault="008F0889">
            <w:pPr>
              <w:pStyle w:val="table"/>
              <w:keepLines/>
              <w:tabs>
                <w:tab w:val="clear" w:pos="426"/>
                <w:tab w:val="left" w:pos="2552"/>
              </w:tabs>
            </w:pPr>
          </w:p>
          <w:p w:rsidR="00D12AB0" w:rsidRDefault="008F0889">
            <w:pPr>
              <w:pStyle w:val="table"/>
              <w:keepLines/>
              <w:tabs>
                <w:tab w:val="clear" w:pos="426"/>
                <w:tab w:val="left" w:pos="2552"/>
              </w:tabs>
            </w:pPr>
            <w:r>
              <w:t>Based on the above, the proposed clearing is not likely to be at variance to this Principle.</w:t>
            </w:r>
          </w:p>
          <w:p w:rsidR="00D12AB0" w:rsidRDefault="00D12AB0">
            <w:pPr>
              <w:pStyle w:val="table"/>
              <w:keepLines/>
              <w:tabs>
                <w:tab w:val="clear" w:pos="426"/>
                <w:tab w:val="left" w:pos="2552"/>
              </w:tabs>
            </w:pPr>
          </w:p>
        </w:tc>
      </w:tr>
      <w:tr w:rsidR="00D12AB0" w:rsidTr="00A44204">
        <w:trPr>
          <w:trHeight w:val="451"/>
        </w:trPr>
        <w:tc>
          <w:tcPr>
            <w:tcW w:w="1242" w:type="dxa"/>
          </w:tcPr>
          <w:p w:rsidR="00D12AB0" w:rsidRDefault="00D12AB0">
            <w:pPr>
              <w:pStyle w:val="table"/>
              <w:keepLines/>
              <w:tabs>
                <w:tab w:val="clear" w:pos="426"/>
                <w:tab w:val="left" w:pos="2552"/>
              </w:tabs>
              <w:rPr>
                <w:b/>
                <w:sz w:val="16"/>
              </w:rPr>
            </w:pPr>
            <w:r>
              <w:rPr>
                <w:b/>
                <w:sz w:val="16"/>
              </w:rPr>
              <w:t>Methodology</w:t>
            </w:r>
          </w:p>
        </w:tc>
        <w:tc>
          <w:tcPr>
            <w:tcW w:w="9072" w:type="dxa"/>
          </w:tcPr>
          <w:p w:rsidR="008F0889" w:rsidRDefault="008F0889">
            <w:pPr>
              <w:pStyle w:val="table"/>
              <w:keepLines/>
              <w:tabs>
                <w:tab w:val="clear" w:pos="426"/>
                <w:tab w:val="left" w:pos="2552"/>
              </w:tabs>
            </w:pPr>
            <w:r>
              <w:t>Keith Lindbeck and Associates (2007a)</w:t>
            </w:r>
          </w:p>
          <w:p w:rsidR="008F0889" w:rsidRDefault="008F0889">
            <w:pPr>
              <w:pStyle w:val="table"/>
              <w:keepLines/>
              <w:tabs>
                <w:tab w:val="clear" w:pos="426"/>
                <w:tab w:val="left" w:pos="2552"/>
              </w:tabs>
            </w:pPr>
            <w:r>
              <w:t>GIS Database:</w:t>
            </w:r>
          </w:p>
          <w:p w:rsidR="00D12AB0" w:rsidRDefault="008F0889">
            <w:pPr>
              <w:pStyle w:val="table"/>
              <w:keepLines/>
              <w:tabs>
                <w:tab w:val="clear" w:pos="426"/>
                <w:tab w:val="left" w:pos="2552"/>
              </w:tabs>
            </w:pPr>
            <w:r>
              <w:t xml:space="preserve">-  </w:t>
            </w:r>
            <w:r w:rsidR="00A44204" w:rsidRPr="00A44204">
              <w:t>DEC Tenure</w:t>
            </w:r>
          </w:p>
        </w:tc>
      </w:tr>
    </w:tbl>
    <w:p w:rsidR="00D12AB0" w:rsidRDefault="00D12AB0">
      <w:pPr>
        <w:rPr>
          <w:sz w:val="10"/>
        </w:rPr>
      </w:pPr>
    </w:p>
    <w:p w:rsidR="00D12AB0" w:rsidRDefault="00D12AB0">
      <w:pPr>
        <w:pStyle w:val="Heading4"/>
        <w:keepLines/>
        <w:shd w:val="pct10" w:color="auto" w:fill="FFFFFF"/>
      </w:pPr>
      <w:r>
        <w:t>(</w:t>
      </w:r>
      <w:proofErr w:type="spellStart"/>
      <w:r>
        <w:t>i</w:t>
      </w:r>
      <w:proofErr w:type="spellEnd"/>
      <w:r>
        <w:t>)</w:t>
      </w:r>
      <w:r>
        <w:tab/>
        <w:t>Native vegetation should not be cleared if the clearing of the vegetation is likely to cause deterioration in the quality of surface or underground water.</w:t>
      </w:r>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8F0889">
            <w:pPr>
              <w:keepNext/>
              <w:keepLines/>
              <w:ind w:right="-109"/>
              <w:rPr>
                <w:rFonts w:ascii="Arial" w:hAnsi="Arial"/>
                <w:b/>
                <w:i/>
                <w:sz w:val="18"/>
              </w:rPr>
            </w:pPr>
            <w:r>
              <w:rPr>
                <w:rFonts w:ascii="Arial" w:hAnsi="Arial"/>
                <w:b/>
                <w:sz w:val="20"/>
              </w:rPr>
              <w:t>Proposal is not likely to be at variance to this Principle</w:t>
            </w:r>
          </w:p>
        </w:tc>
      </w:tr>
      <w:tr w:rsidR="00D12AB0">
        <w:tc>
          <w:tcPr>
            <w:tcW w:w="1242" w:type="dxa"/>
          </w:tcPr>
          <w:p w:rsidR="00D12AB0" w:rsidRDefault="00D12AB0">
            <w:pPr>
              <w:pStyle w:val="table"/>
              <w:keepLines/>
              <w:tabs>
                <w:tab w:val="clear" w:pos="426"/>
                <w:tab w:val="left" w:pos="2552"/>
              </w:tabs>
              <w:rPr>
                <w:b/>
                <w:sz w:val="16"/>
              </w:rPr>
            </w:pPr>
          </w:p>
        </w:tc>
        <w:tc>
          <w:tcPr>
            <w:tcW w:w="9072" w:type="dxa"/>
          </w:tcPr>
          <w:p w:rsidR="008F0889" w:rsidRDefault="008F0889">
            <w:pPr>
              <w:pStyle w:val="table"/>
              <w:keepLines/>
              <w:tabs>
                <w:tab w:val="clear" w:pos="426"/>
                <w:tab w:val="left" w:pos="2552"/>
              </w:tabs>
            </w:pPr>
            <w:r>
              <w:t>There are no permanent watercourses, drainage systems or wetlands within the application area (GIS Database; Keith Lindbeck and Associates, 2007a).  The closest watercourse is Seven Mile Creek which is located approximately 2.8 kilometres south-east and of the application area (GIS Database).  The land system associated with the application area has high resistance to eros</w:t>
            </w:r>
            <w:r w:rsidR="00A44204">
              <w:t xml:space="preserve">ion (Van Vreeswyk et al., 2004; </w:t>
            </w:r>
            <w:r>
              <w:t>Keith Lindbeck and Associates, 2007b), thereby reducing the risk of sediment export which may result in sedimentation and turbidity in nearby watercourses.  The proposed clearing is unlikely to cause deterioration in the quality of surface water in the local area.</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The application area is located within the Turee Creek catchment system which covers an area of 675,300 hectares (Hamersley Iron, 2008).  The Turee Creek catchment is underlain by four aquifers (Keith Lindbeck and Associates, 2007a). Aquifer 1 resides in shallow alluvium and colluvial scree that lies on top of weathered basement, paleochannel clays and in some areas directly on fractured basement rock.  Aquifer 2 lies below Aquifer 1 and is a thick sequence of low permeability paleochannel clays which acts as an aquiclude.  These low permeability clays are an effective barrier between the shallow aquifer and the deeper paleochannel sediments and fractured rock aquifers.  Aquifer 3 occurs in paleochannel sediments that consist of sand, gravel and some silt and clay.  Aquifer 4 is a fractured rock aquifer that lies below the paleochannel sediments Keith Lindbeck and Associates, 2007a).  </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In relation to the shallow aquifer, given the size of the Turee Creek catchment system (675,300 hectares) in </w:t>
            </w:r>
            <w:r>
              <w:lastRenderedPageBreak/>
              <w:t xml:space="preserve">relation to the size of the application area (8.2 hectares) and considering the low rainfall to high evaporation ratio, it is unlikely that the proposed clearing will significantly increase groundwater recharge or impact on groundwater quality.  </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In relation to the deeper underlying aquifers, due to the lack of interconnection between the shallow and deeper aquifers caused by presence of the aquiclude, it is unlikely that the proposed clearing will have any further impact on groundwater quality of the underlying deeper aquifers.  </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The application is not located within a Public Drinking Water Source Area (GIS Database).  </w:t>
            </w:r>
          </w:p>
          <w:p w:rsidR="008F0889" w:rsidRDefault="008F0889">
            <w:pPr>
              <w:pStyle w:val="table"/>
              <w:keepLines/>
              <w:tabs>
                <w:tab w:val="clear" w:pos="426"/>
                <w:tab w:val="left" w:pos="2552"/>
              </w:tabs>
            </w:pPr>
          </w:p>
          <w:p w:rsidR="00D12AB0" w:rsidRDefault="008F0889">
            <w:pPr>
              <w:pStyle w:val="table"/>
              <w:keepLines/>
              <w:tabs>
                <w:tab w:val="clear" w:pos="426"/>
                <w:tab w:val="left" w:pos="2552"/>
              </w:tabs>
            </w:pPr>
            <w:r>
              <w:t>Based on the above, the proposed clearing is not likely to be at variance to this Principle.</w:t>
            </w:r>
          </w:p>
          <w:p w:rsidR="00D12AB0" w:rsidRDefault="00D12AB0">
            <w:pPr>
              <w:pStyle w:val="table"/>
              <w:keepLines/>
              <w:tabs>
                <w:tab w:val="clear" w:pos="426"/>
                <w:tab w:val="left" w:pos="2552"/>
              </w:tabs>
            </w:pPr>
          </w:p>
        </w:tc>
      </w:tr>
      <w:tr w:rsidR="00D12AB0">
        <w:tc>
          <w:tcPr>
            <w:tcW w:w="1242" w:type="dxa"/>
          </w:tcPr>
          <w:p w:rsidR="00D12AB0" w:rsidRDefault="00D12AB0">
            <w:pPr>
              <w:pStyle w:val="table"/>
              <w:keepLines/>
              <w:tabs>
                <w:tab w:val="clear" w:pos="426"/>
                <w:tab w:val="left" w:pos="2552"/>
              </w:tabs>
              <w:rPr>
                <w:b/>
                <w:sz w:val="16"/>
              </w:rPr>
            </w:pPr>
            <w:r>
              <w:rPr>
                <w:b/>
                <w:sz w:val="16"/>
              </w:rPr>
              <w:lastRenderedPageBreak/>
              <w:t>Methodology</w:t>
            </w:r>
          </w:p>
        </w:tc>
        <w:tc>
          <w:tcPr>
            <w:tcW w:w="9072" w:type="dxa"/>
          </w:tcPr>
          <w:p w:rsidR="008F0889" w:rsidRDefault="008F0889">
            <w:pPr>
              <w:pStyle w:val="table"/>
              <w:keepLines/>
              <w:tabs>
                <w:tab w:val="clear" w:pos="426"/>
                <w:tab w:val="left" w:pos="2552"/>
              </w:tabs>
            </w:pPr>
            <w:r>
              <w:t>Keith Lindbeck and Associates (2007a)</w:t>
            </w:r>
          </w:p>
          <w:p w:rsidR="008F0889" w:rsidRDefault="008F0889">
            <w:pPr>
              <w:pStyle w:val="table"/>
              <w:keepLines/>
              <w:tabs>
                <w:tab w:val="clear" w:pos="426"/>
                <w:tab w:val="left" w:pos="2552"/>
              </w:tabs>
            </w:pPr>
            <w:r>
              <w:t>Hamersley Iron (2008)</w:t>
            </w:r>
          </w:p>
          <w:p w:rsidR="008F0889" w:rsidRDefault="008F0889">
            <w:pPr>
              <w:pStyle w:val="table"/>
              <w:keepLines/>
              <w:tabs>
                <w:tab w:val="clear" w:pos="426"/>
                <w:tab w:val="left" w:pos="2552"/>
              </w:tabs>
            </w:pPr>
            <w:r>
              <w:t>Van Vreeswyk et al. (2004)</w:t>
            </w:r>
          </w:p>
          <w:p w:rsidR="008F0889" w:rsidRDefault="008F0889">
            <w:pPr>
              <w:pStyle w:val="table"/>
              <w:keepLines/>
              <w:tabs>
                <w:tab w:val="clear" w:pos="426"/>
                <w:tab w:val="left" w:pos="2552"/>
              </w:tabs>
            </w:pPr>
            <w:r>
              <w:t>GIS Database:</w:t>
            </w:r>
          </w:p>
          <w:p w:rsidR="008F0889" w:rsidRDefault="008F0889">
            <w:pPr>
              <w:pStyle w:val="table"/>
              <w:keepLines/>
              <w:tabs>
                <w:tab w:val="clear" w:pos="426"/>
                <w:tab w:val="left" w:pos="2552"/>
              </w:tabs>
            </w:pPr>
            <w:r>
              <w:t>- Hydrography, linear_1</w:t>
            </w:r>
          </w:p>
          <w:p w:rsidR="008F0889" w:rsidRDefault="008F0889">
            <w:pPr>
              <w:pStyle w:val="table"/>
              <w:keepLines/>
              <w:tabs>
                <w:tab w:val="clear" w:pos="426"/>
                <w:tab w:val="left" w:pos="2552"/>
              </w:tabs>
            </w:pPr>
            <w:r>
              <w:t>- Hydrography, linear (hierarchy)</w:t>
            </w:r>
          </w:p>
          <w:p w:rsidR="008F0889" w:rsidRDefault="008F0889">
            <w:pPr>
              <w:pStyle w:val="table"/>
              <w:keepLines/>
              <w:tabs>
                <w:tab w:val="clear" w:pos="426"/>
                <w:tab w:val="left" w:pos="2552"/>
              </w:tabs>
            </w:pPr>
            <w:r>
              <w:t>- Rainfall, Mean Annual</w:t>
            </w:r>
            <w:r>
              <w:tab/>
            </w:r>
          </w:p>
          <w:p w:rsidR="008F0889" w:rsidRDefault="008F0889">
            <w:pPr>
              <w:pStyle w:val="table"/>
              <w:keepLines/>
              <w:tabs>
                <w:tab w:val="clear" w:pos="426"/>
                <w:tab w:val="left" w:pos="2552"/>
              </w:tabs>
            </w:pPr>
            <w:r>
              <w:t>- Evaporation Isopleths</w:t>
            </w:r>
          </w:p>
          <w:p w:rsidR="00D12AB0" w:rsidRDefault="008F0889">
            <w:pPr>
              <w:pStyle w:val="table"/>
              <w:keepLines/>
              <w:tabs>
                <w:tab w:val="clear" w:pos="426"/>
                <w:tab w:val="left" w:pos="2552"/>
              </w:tabs>
            </w:pPr>
            <w:r>
              <w:t>- Public Drinking Water Source Areas (PDWSAs)</w:t>
            </w:r>
          </w:p>
        </w:tc>
      </w:tr>
    </w:tbl>
    <w:p w:rsidR="00D12AB0" w:rsidRDefault="00D12AB0">
      <w:pPr>
        <w:rPr>
          <w:sz w:val="10"/>
        </w:rPr>
      </w:pPr>
    </w:p>
    <w:p w:rsidR="00D12AB0" w:rsidRDefault="00D12AB0">
      <w:pPr>
        <w:pStyle w:val="Heading4"/>
        <w:keepLines/>
        <w:shd w:val="pct10" w:color="auto" w:fill="FFFFFF"/>
      </w:pPr>
      <w:r>
        <w:t>(j)</w:t>
      </w:r>
      <w:r>
        <w:tab/>
        <w:t>Native vegetation should not be cleared if clearing the vegetation is likely to cause, or exacerbate, the incidence or intensity of flooding.</w:t>
      </w:r>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8F0889">
            <w:pPr>
              <w:keepNext/>
              <w:keepLines/>
              <w:ind w:right="-109"/>
              <w:rPr>
                <w:rFonts w:ascii="Arial" w:hAnsi="Arial"/>
                <w:b/>
                <w:i/>
                <w:sz w:val="18"/>
              </w:rPr>
            </w:pPr>
            <w:r>
              <w:rPr>
                <w:rFonts w:ascii="Arial" w:hAnsi="Arial"/>
                <w:b/>
                <w:sz w:val="20"/>
              </w:rPr>
              <w:t>Proposal is not likely to be at variance to this Principle</w:t>
            </w:r>
          </w:p>
        </w:tc>
      </w:tr>
      <w:tr w:rsidR="00D12AB0">
        <w:tc>
          <w:tcPr>
            <w:tcW w:w="1242" w:type="dxa"/>
          </w:tcPr>
          <w:p w:rsidR="00D12AB0" w:rsidRDefault="00D12AB0">
            <w:pPr>
              <w:pStyle w:val="table"/>
              <w:keepLines/>
              <w:tabs>
                <w:tab w:val="clear" w:pos="426"/>
                <w:tab w:val="left" w:pos="2552"/>
              </w:tabs>
              <w:rPr>
                <w:b/>
                <w:sz w:val="16"/>
              </w:rPr>
            </w:pPr>
          </w:p>
        </w:tc>
        <w:tc>
          <w:tcPr>
            <w:tcW w:w="9072" w:type="dxa"/>
          </w:tcPr>
          <w:p w:rsidR="008F0889" w:rsidRDefault="008F0889">
            <w:pPr>
              <w:pStyle w:val="table"/>
              <w:keepLines/>
              <w:tabs>
                <w:tab w:val="clear" w:pos="426"/>
                <w:tab w:val="left" w:pos="2552"/>
              </w:tabs>
            </w:pPr>
            <w:r>
              <w:t xml:space="preserve">The application area is not associated with any permanent wetlands or watercourses (GIS database; Keith Lindbeck and Associates, 2007a). The average annual rainfall of Paraburdoo is approximately                    280.8 millimetres, with monsoonal events from tropical cyclones producing a few large rainfall events each year with rainfall in excess of 100 or 200 millimetres in a few days (Keith Lindbeck and Associates, 2007a).  As a result, local flooding can often occur seasonally in the Pilbara region between December and March.  Numerous non-perennial watercourses are distributed across the landscape, and these are responsible for quickly dispersing floodwaters after significant rainfall events, thereby reducing peak flood heights (GIS database). </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The proposed clearing of 8.2 hectares is unlikely to impact on drainage patterns within the Turee Creek catchment system, or result in an increase in peak flood heights.  Furthermore, the proposed clearing of native vegetation is not likely to cause or increase the incidence of flooding.  </w:t>
            </w:r>
          </w:p>
          <w:p w:rsidR="008F0889" w:rsidRDefault="008F0889">
            <w:pPr>
              <w:pStyle w:val="table"/>
              <w:keepLines/>
              <w:tabs>
                <w:tab w:val="clear" w:pos="426"/>
                <w:tab w:val="left" w:pos="2552"/>
              </w:tabs>
            </w:pPr>
          </w:p>
          <w:p w:rsidR="00D12AB0" w:rsidRDefault="008F0889">
            <w:pPr>
              <w:pStyle w:val="table"/>
              <w:keepLines/>
              <w:tabs>
                <w:tab w:val="clear" w:pos="426"/>
                <w:tab w:val="left" w:pos="2552"/>
              </w:tabs>
            </w:pPr>
            <w:r>
              <w:t>Based on the above, the proposed clearing is not likely to be at variance to this Principle.</w:t>
            </w:r>
          </w:p>
          <w:p w:rsidR="00D12AB0" w:rsidRDefault="00D12AB0">
            <w:pPr>
              <w:pStyle w:val="table"/>
              <w:keepLines/>
              <w:tabs>
                <w:tab w:val="clear" w:pos="426"/>
                <w:tab w:val="left" w:pos="2552"/>
              </w:tabs>
            </w:pPr>
          </w:p>
        </w:tc>
      </w:tr>
      <w:tr w:rsidR="00D12AB0">
        <w:tc>
          <w:tcPr>
            <w:tcW w:w="1242" w:type="dxa"/>
          </w:tcPr>
          <w:p w:rsidR="00D12AB0" w:rsidRDefault="00D12AB0">
            <w:pPr>
              <w:pStyle w:val="table"/>
              <w:keepLines/>
              <w:tabs>
                <w:tab w:val="clear" w:pos="426"/>
                <w:tab w:val="left" w:pos="2552"/>
              </w:tabs>
              <w:rPr>
                <w:b/>
                <w:sz w:val="16"/>
              </w:rPr>
            </w:pPr>
            <w:r>
              <w:rPr>
                <w:b/>
                <w:sz w:val="16"/>
              </w:rPr>
              <w:t>Methodology</w:t>
            </w:r>
          </w:p>
        </w:tc>
        <w:tc>
          <w:tcPr>
            <w:tcW w:w="9072" w:type="dxa"/>
          </w:tcPr>
          <w:p w:rsidR="008F0889" w:rsidRDefault="008F0889">
            <w:pPr>
              <w:pStyle w:val="table"/>
              <w:keepLines/>
              <w:tabs>
                <w:tab w:val="clear" w:pos="426"/>
                <w:tab w:val="left" w:pos="2552"/>
              </w:tabs>
            </w:pPr>
            <w:r>
              <w:t>Keith Lindbeck and Associates (2007a)</w:t>
            </w:r>
          </w:p>
          <w:p w:rsidR="008F0889" w:rsidRDefault="008F0889">
            <w:pPr>
              <w:pStyle w:val="table"/>
              <w:keepLines/>
              <w:tabs>
                <w:tab w:val="clear" w:pos="426"/>
                <w:tab w:val="left" w:pos="2552"/>
              </w:tabs>
            </w:pPr>
            <w:r>
              <w:t>GIS Database:</w:t>
            </w:r>
          </w:p>
          <w:p w:rsidR="008F0889" w:rsidRDefault="008F0889">
            <w:pPr>
              <w:pStyle w:val="table"/>
              <w:keepLines/>
              <w:tabs>
                <w:tab w:val="clear" w:pos="426"/>
                <w:tab w:val="left" w:pos="2552"/>
              </w:tabs>
            </w:pPr>
            <w:r>
              <w:t>- Hydrography, linear (hierarchy)</w:t>
            </w:r>
          </w:p>
          <w:p w:rsidR="008F0889" w:rsidRDefault="008F0889">
            <w:pPr>
              <w:pStyle w:val="table"/>
              <w:keepLines/>
              <w:tabs>
                <w:tab w:val="clear" w:pos="426"/>
                <w:tab w:val="left" w:pos="2552"/>
              </w:tabs>
            </w:pPr>
            <w:r>
              <w:t>- Hydrography, linear_1</w:t>
            </w:r>
          </w:p>
          <w:p w:rsidR="00D12AB0" w:rsidRDefault="008F0889">
            <w:pPr>
              <w:pStyle w:val="table"/>
              <w:keepLines/>
              <w:tabs>
                <w:tab w:val="clear" w:pos="426"/>
                <w:tab w:val="left" w:pos="2552"/>
              </w:tabs>
            </w:pPr>
            <w:r>
              <w:t>- Topographic Contours, Statewide</w:t>
            </w:r>
          </w:p>
        </w:tc>
      </w:tr>
    </w:tbl>
    <w:p w:rsidR="00D12AB0" w:rsidRDefault="00D12AB0">
      <w:pPr>
        <w:rPr>
          <w:sz w:val="10"/>
        </w:rPr>
      </w:pPr>
    </w:p>
    <w:p w:rsidR="00D12AB0" w:rsidRDefault="00D12AB0">
      <w:pPr>
        <w:pStyle w:val="Heading4"/>
        <w:keepLines/>
        <w:shd w:val="pct10" w:color="auto" w:fill="FFFFFF"/>
      </w:pPr>
      <w:proofErr w:type="gramStart"/>
      <w:r>
        <w:t>Planning instrument, Native Title, Previous EPA decision or other matter.</w:t>
      </w:r>
      <w:proofErr w:type="gramEnd"/>
    </w:p>
    <w:tbl>
      <w:tblPr>
        <w:tblW w:w="0" w:type="auto"/>
        <w:tblLayout w:type="fixed"/>
        <w:tblLook w:val="0000"/>
      </w:tblPr>
      <w:tblGrid>
        <w:gridCol w:w="1242"/>
        <w:gridCol w:w="9072"/>
      </w:tblGrid>
      <w:tr w:rsidR="00D12AB0">
        <w:tc>
          <w:tcPr>
            <w:tcW w:w="1242" w:type="dxa"/>
          </w:tcPr>
          <w:p w:rsidR="00D12AB0" w:rsidRDefault="00D12AB0">
            <w:pPr>
              <w:pStyle w:val="table"/>
              <w:keepNext/>
              <w:keepLines/>
              <w:tabs>
                <w:tab w:val="clear" w:pos="426"/>
                <w:tab w:val="left" w:pos="2552"/>
              </w:tabs>
              <w:rPr>
                <w:b/>
                <w:sz w:val="16"/>
              </w:rPr>
            </w:pPr>
            <w:r>
              <w:rPr>
                <w:b/>
                <w:sz w:val="16"/>
              </w:rPr>
              <w:t>Comments</w:t>
            </w:r>
          </w:p>
        </w:tc>
        <w:tc>
          <w:tcPr>
            <w:tcW w:w="9072" w:type="dxa"/>
          </w:tcPr>
          <w:p w:rsidR="00D12AB0" w:rsidRDefault="00D12AB0">
            <w:pPr>
              <w:keepNext/>
              <w:keepLines/>
              <w:ind w:right="-109"/>
              <w:rPr>
                <w:rFonts w:ascii="Arial" w:hAnsi="Arial"/>
                <w:b/>
                <w:i/>
                <w:sz w:val="18"/>
              </w:rPr>
            </w:pPr>
          </w:p>
        </w:tc>
      </w:tr>
      <w:tr w:rsidR="00D12AB0">
        <w:tc>
          <w:tcPr>
            <w:tcW w:w="1242" w:type="dxa"/>
          </w:tcPr>
          <w:p w:rsidR="00D12AB0" w:rsidRDefault="00D12AB0">
            <w:pPr>
              <w:pStyle w:val="table"/>
              <w:keepLines/>
              <w:tabs>
                <w:tab w:val="clear" w:pos="426"/>
                <w:tab w:val="left" w:pos="2552"/>
              </w:tabs>
              <w:rPr>
                <w:b/>
                <w:sz w:val="16"/>
              </w:rPr>
            </w:pPr>
          </w:p>
        </w:tc>
        <w:tc>
          <w:tcPr>
            <w:tcW w:w="9072" w:type="dxa"/>
          </w:tcPr>
          <w:p w:rsidR="008F0889" w:rsidRDefault="008F0889">
            <w:pPr>
              <w:pStyle w:val="table"/>
              <w:keepLines/>
              <w:tabs>
                <w:tab w:val="clear" w:pos="426"/>
                <w:tab w:val="left" w:pos="2552"/>
              </w:tabs>
            </w:pPr>
            <w:r>
              <w:t>Clearing permit CPS 2234/1 was granted by the Department of Industry and Resources (DoIR) (now the Department of Mines and Petroleum (DMP)) on 17 April 2008, and is valid from 17 May 2008 to 17 May 2010.  The permit authorise</w:t>
            </w:r>
            <w:r w:rsidR="00D75B3D">
              <w:t>s</w:t>
            </w:r>
            <w:r>
              <w:t xml:space="preserve"> the clearing of up to 8.2 hectares of native vegetation.  An application for an amendment to clearing permit CPS 2234/1 was submitted by Hamersley Iron Pty Ltd to DMP on 16 March 2010.  Hamersley Iron has applied to extend the expiry date of the clearing permit to 17 May 2014.  The size of the area and clearing area boundary that was approved under clearing permit CPS 2234/1 will remain unchanged.</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There are two native title claims over the area under application; (WC97/043) and (WC98/069) (GIS Database). These claims have been registered with the National Native Title Tribunal on behalf of the claimant groups (GIS Database). </w:t>
            </w:r>
            <w:r w:rsidR="002B15E8">
              <w:t xml:space="preserve"> </w:t>
            </w:r>
            <w:r>
              <w:t xml:space="preserve">However, the tenement has been granted in accordance with the future act regime of the </w:t>
            </w:r>
            <w:r w:rsidRPr="002B15E8">
              <w:rPr>
                <w:i/>
              </w:rPr>
              <w:t>Native Title Act 1993</w:t>
            </w:r>
            <w:r>
              <w:t xml:space="preserve"> and the nature of the act (i.e. the proposed clearing activity) has been provided for in that process, therefore, the granting of a clearing permit is not a future act under the </w:t>
            </w:r>
            <w:r w:rsidRPr="002B15E8">
              <w:rPr>
                <w:i/>
              </w:rPr>
              <w:t>Native Title Act 1993</w:t>
            </w:r>
            <w:r>
              <w:t xml:space="preserve">. </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There are no registered Sites of Aboriginal Significance within the area applied to clear (GIS Database). It is the proponent's responsibility to comply with the </w:t>
            </w:r>
            <w:r w:rsidRPr="002B15E8">
              <w:rPr>
                <w:i/>
              </w:rPr>
              <w:t>Aboriginal Heritage Act 1972</w:t>
            </w:r>
            <w:r>
              <w:t xml:space="preserve"> and ensure that no Sites of Aboriginal Significance are damaged through the clearing process. </w:t>
            </w:r>
          </w:p>
          <w:p w:rsidR="008F0889" w:rsidRDefault="008F0889">
            <w:pPr>
              <w:pStyle w:val="table"/>
              <w:keepLines/>
              <w:tabs>
                <w:tab w:val="clear" w:pos="426"/>
                <w:tab w:val="left" w:pos="2552"/>
              </w:tabs>
            </w:pPr>
          </w:p>
          <w:p w:rsidR="008F0889" w:rsidRDefault="008F0889">
            <w:pPr>
              <w:pStyle w:val="table"/>
              <w:keepLines/>
              <w:tabs>
                <w:tab w:val="clear" w:pos="426"/>
                <w:tab w:val="left" w:pos="2552"/>
              </w:tabs>
            </w:pPr>
            <w:r>
              <w:t xml:space="preserve">The </w:t>
            </w:r>
            <w:r w:rsidR="002B15E8">
              <w:t>a</w:t>
            </w:r>
            <w:r>
              <w:t xml:space="preserve">ssessing </w:t>
            </w:r>
            <w:r w:rsidR="002B15E8">
              <w:t>o</w:t>
            </w:r>
            <w:r>
              <w:t xml:space="preserve">fficer notes that approximately 6.5 hectares of the 10.4 hectare application area for CPS 2234/1 has been previously approved to be cleared under clearing permit CPS 174/1.  Clearing permit CPS 174/1 was valid from 18 December 2004 to 12 December 2006.  As the permit expired on 12 December 2006, Hamersley </w:t>
            </w:r>
            <w:r>
              <w:lastRenderedPageBreak/>
              <w:t xml:space="preserve">Iron Pty Ltd requires a new clearing permit to clear native vegetation in the area.  The application area for CPS 2234/1 </w:t>
            </w:r>
            <w:r w:rsidR="002B15E8">
              <w:t>totals</w:t>
            </w:r>
            <w:r>
              <w:t xml:space="preserve"> approximately 10.4 hectares and extend</w:t>
            </w:r>
            <w:r w:rsidR="002B15E8">
              <w:t>s</w:t>
            </w:r>
            <w:r>
              <w:t xml:space="preserve"> west and east of the area that had previously been assessed and granted under CPS 174/1.  Aerial imagery submitted with the application shows that the vegetation within the CPS 2234/1 application area remains uncleared except for an area of approximately 2.2 hectares</w:t>
            </w:r>
            <w:r w:rsidR="002B15E8">
              <w:t xml:space="preserve"> which has been cleared</w:t>
            </w:r>
            <w:r>
              <w:t xml:space="preserve">.  The </w:t>
            </w:r>
            <w:r w:rsidR="002B15E8">
              <w:t>assessing o</w:t>
            </w:r>
            <w:r>
              <w:t xml:space="preserve">fficer notes that Hamersley Iron Pty Ltd has applied to clear to up to 8.2 hectares of the remaining vegetation within the application area.  </w:t>
            </w:r>
          </w:p>
          <w:p w:rsidR="008F0889" w:rsidRDefault="008F0889">
            <w:pPr>
              <w:pStyle w:val="table"/>
              <w:keepLines/>
              <w:tabs>
                <w:tab w:val="clear" w:pos="426"/>
                <w:tab w:val="left" w:pos="2552"/>
              </w:tabs>
            </w:pPr>
          </w:p>
          <w:p w:rsidR="00D12AB0" w:rsidRDefault="008F0889">
            <w:pPr>
              <w:pStyle w:val="table"/>
              <w:keepLines/>
              <w:tabs>
                <w:tab w:val="clear" w:pos="426"/>
                <w:tab w:val="left" w:pos="2552"/>
              </w:tabs>
            </w:pPr>
            <w:r>
              <w:t>It is the proponent's responsibility to liaise with the Department of Environment and Conservation and the Department of Water to determine whether a Works Approval, Water Licence, Bed and Banks Permit, or any other licences or approvals are required for the proposed works.</w:t>
            </w:r>
          </w:p>
          <w:p w:rsidR="002B15E8" w:rsidRDefault="002B15E8">
            <w:pPr>
              <w:pStyle w:val="table"/>
              <w:keepLines/>
              <w:tabs>
                <w:tab w:val="clear" w:pos="426"/>
                <w:tab w:val="left" w:pos="2552"/>
              </w:tabs>
            </w:pPr>
          </w:p>
        </w:tc>
      </w:tr>
      <w:tr w:rsidR="00D12AB0">
        <w:tc>
          <w:tcPr>
            <w:tcW w:w="1242" w:type="dxa"/>
          </w:tcPr>
          <w:p w:rsidR="00D12AB0" w:rsidRDefault="00D12AB0">
            <w:pPr>
              <w:pStyle w:val="table"/>
              <w:keepLines/>
              <w:tabs>
                <w:tab w:val="clear" w:pos="426"/>
                <w:tab w:val="left" w:pos="2552"/>
              </w:tabs>
              <w:rPr>
                <w:b/>
                <w:sz w:val="16"/>
              </w:rPr>
            </w:pPr>
            <w:r>
              <w:rPr>
                <w:b/>
                <w:sz w:val="16"/>
              </w:rPr>
              <w:lastRenderedPageBreak/>
              <w:t>Methodology</w:t>
            </w:r>
          </w:p>
        </w:tc>
        <w:tc>
          <w:tcPr>
            <w:tcW w:w="9072" w:type="dxa"/>
          </w:tcPr>
          <w:p w:rsidR="008F0889" w:rsidRDefault="008F0889">
            <w:pPr>
              <w:pStyle w:val="table"/>
              <w:keepLines/>
              <w:tabs>
                <w:tab w:val="clear" w:pos="426"/>
                <w:tab w:val="left" w:pos="2552"/>
              </w:tabs>
            </w:pPr>
            <w:r>
              <w:t>GIS Database:</w:t>
            </w:r>
          </w:p>
          <w:p w:rsidR="008F0889" w:rsidRDefault="008F0889">
            <w:pPr>
              <w:pStyle w:val="table"/>
              <w:keepLines/>
              <w:tabs>
                <w:tab w:val="clear" w:pos="426"/>
                <w:tab w:val="left" w:pos="2552"/>
              </w:tabs>
            </w:pPr>
            <w:r>
              <w:t xml:space="preserve">- </w:t>
            </w:r>
            <w:r w:rsidR="002B15E8" w:rsidRPr="002B15E8">
              <w:t>Native Title Claims</w:t>
            </w:r>
          </w:p>
          <w:p w:rsidR="00D12AB0" w:rsidRDefault="008F0889">
            <w:pPr>
              <w:pStyle w:val="table"/>
              <w:keepLines/>
              <w:tabs>
                <w:tab w:val="clear" w:pos="426"/>
                <w:tab w:val="left" w:pos="2552"/>
              </w:tabs>
            </w:pPr>
            <w:r>
              <w:t xml:space="preserve">- </w:t>
            </w:r>
            <w:r w:rsidR="002B15E8" w:rsidRPr="002B15E8">
              <w:t>Aboriginal Sites of Significance</w:t>
            </w:r>
          </w:p>
        </w:tc>
      </w:tr>
    </w:tbl>
    <w:p w:rsidR="00D12AB0" w:rsidRDefault="00D12AB0">
      <w:pPr>
        <w:pStyle w:val="Heading1"/>
        <w:keepNext w:val="0"/>
        <w:keepLines/>
      </w:pPr>
      <w:r>
        <w:t xml:space="preserve">Assessor’s </w:t>
      </w:r>
      <w:r w:rsidR="00867BA4">
        <w:t>comments</w:t>
      </w:r>
    </w:p>
    <w:p w:rsidR="00D12AB0" w:rsidRDefault="00D12AB0">
      <w:pPr>
        <w:pStyle w:val="Footer"/>
        <w:keepLines/>
        <w:tabs>
          <w:tab w:val="clear" w:pos="4153"/>
          <w:tab w:val="clear" w:pos="8306"/>
        </w:tabs>
        <w:spacing w:after="120"/>
        <w:rPr>
          <w:rFonts w:ascii="Arial" w:hAnsi="Arial"/>
          <w:sz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06"/>
      </w:tblGrid>
      <w:tr w:rsidR="006C5B95" w:rsidTr="006C5B95">
        <w:trPr>
          <w:trHeight w:val="351"/>
        </w:trPr>
        <w:tc>
          <w:tcPr>
            <w:tcW w:w="10206" w:type="dxa"/>
            <w:tcBorders>
              <w:top w:val="nil"/>
              <w:left w:val="nil"/>
              <w:bottom w:val="nil"/>
              <w:right w:val="nil"/>
            </w:tcBorders>
          </w:tcPr>
          <w:p w:rsidR="006C5B95" w:rsidRDefault="006C5B95">
            <w:pPr>
              <w:pStyle w:val="table"/>
              <w:keepLines/>
              <w:ind w:right="0"/>
              <w:rPr>
                <w:b/>
                <w:sz w:val="16"/>
              </w:rPr>
            </w:pPr>
            <w:r>
              <w:rPr>
                <w:b/>
                <w:sz w:val="16"/>
              </w:rPr>
              <w:t>Comment</w:t>
            </w:r>
          </w:p>
        </w:tc>
      </w:tr>
      <w:tr w:rsidR="006C5B95" w:rsidTr="006C5B95">
        <w:trPr>
          <w:trHeight w:val="711"/>
        </w:trPr>
        <w:tc>
          <w:tcPr>
            <w:tcW w:w="10206" w:type="dxa"/>
            <w:tcBorders>
              <w:top w:val="nil"/>
              <w:left w:val="nil"/>
              <w:bottom w:val="nil"/>
              <w:right w:val="nil"/>
            </w:tcBorders>
          </w:tcPr>
          <w:p w:rsidR="008F0889" w:rsidRPr="002B15E8" w:rsidRDefault="008F0889">
            <w:pPr>
              <w:pStyle w:val="table"/>
              <w:keepLines/>
              <w:ind w:right="0"/>
              <w:rPr>
                <w:szCs w:val="18"/>
              </w:rPr>
            </w:pPr>
            <w:r w:rsidRPr="002B15E8">
              <w:rPr>
                <w:szCs w:val="18"/>
              </w:rPr>
              <w:t>The amended proposal has been assessed against the Clearing Principles and may be at variance to Principle (f), is not likely to be at variance to Principle (a), (b), (c), (d), (g), (h), (i) or (j) and is not at variance to Principle (e).</w:t>
            </w:r>
          </w:p>
          <w:p w:rsidR="008F0889" w:rsidRPr="002B15E8" w:rsidRDefault="008F0889">
            <w:pPr>
              <w:pStyle w:val="table"/>
              <w:keepLines/>
              <w:ind w:right="0"/>
              <w:rPr>
                <w:szCs w:val="18"/>
              </w:rPr>
            </w:pPr>
          </w:p>
          <w:p w:rsidR="006C5B95" w:rsidRDefault="008F0889">
            <w:pPr>
              <w:pStyle w:val="table"/>
              <w:keepLines/>
              <w:ind w:right="0"/>
              <w:rPr>
                <w:sz w:val="16"/>
              </w:rPr>
            </w:pPr>
            <w:r w:rsidRPr="002B15E8">
              <w:rPr>
                <w:szCs w:val="18"/>
              </w:rPr>
              <w:t>It is recommended that should a permit be granted, conditions be imposed on the permit for the purposes of weed management, record keeping and permit reporting.</w:t>
            </w:r>
          </w:p>
        </w:tc>
      </w:tr>
    </w:tbl>
    <w:p w:rsidR="00D12AB0" w:rsidRDefault="00D12AB0">
      <w:pPr>
        <w:pStyle w:val="Heading1"/>
      </w:pPr>
      <w:r>
        <w:t>References</w:t>
      </w:r>
    </w:p>
    <w:tbl>
      <w:tblPr>
        <w:tblW w:w="0" w:type="auto"/>
        <w:tblInd w:w="1" w:type="dxa"/>
        <w:tblLayout w:type="fixed"/>
        <w:tblCellMar>
          <w:left w:w="98" w:type="dxa"/>
          <w:right w:w="98" w:type="dxa"/>
        </w:tblCellMar>
        <w:tblLook w:val="0000"/>
      </w:tblPr>
      <w:tblGrid>
        <w:gridCol w:w="10303"/>
      </w:tblGrid>
      <w:tr w:rsidR="00D12AB0">
        <w:tc>
          <w:tcPr>
            <w:tcW w:w="10303" w:type="dxa"/>
            <w:shd w:val="clear" w:color="auto" w:fill="FFFFFF"/>
          </w:tcPr>
          <w:p w:rsidR="00573D8E" w:rsidRDefault="00573D8E" w:rsidP="00573D8E">
            <w:pPr>
              <w:spacing w:after="20"/>
              <w:ind w:left="850" w:hanging="850"/>
              <w:rPr>
                <w:rFonts w:ascii="Arial" w:hAnsi="Arial"/>
                <w:sz w:val="18"/>
                <w:lang w:eastAsia="en-US"/>
              </w:rPr>
            </w:pPr>
            <w:smartTag w:uri="urn:schemas-microsoft-com:office:smarttags" w:element="place">
              <w:smartTag w:uri="urn:schemas-microsoft-com:office:smarttags" w:element="PlaceName">
                <w:r>
                  <w:rPr>
                    <w:rFonts w:ascii="Arial" w:hAnsi="Arial"/>
                    <w:sz w:val="18"/>
                  </w:rPr>
                  <w:t>Australian</w:t>
                </w:r>
              </w:smartTag>
              <w:r>
                <w:rPr>
                  <w:rFonts w:ascii="Arial" w:hAnsi="Arial"/>
                  <w:sz w:val="18"/>
                </w:rPr>
                <w:t xml:space="preserve"> </w:t>
              </w:r>
              <w:smartTag w:uri="urn:schemas-microsoft-com:office:smarttags" w:element="PlaceType">
                <w:r>
                  <w:rPr>
                    <w:rFonts w:ascii="Arial" w:hAnsi="Arial"/>
                    <w:sz w:val="18"/>
                  </w:rPr>
                  <w:t>Museum</w:t>
                </w:r>
              </w:smartTag>
            </w:smartTag>
            <w:r>
              <w:rPr>
                <w:rFonts w:ascii="Arial" w:hAnsi="Arial"/>
                <w:sz w:val="18"/>
              </w:rPr>
              <w:t xml:space="preserve"> Online (1999).  Bats in </w:t>
            </w:r>
            <w:smartTag w:uri="urn:schemas-microsoft-com:office:smarttags" w:element="place">
              <w:smartTag w:uri="urn:schemas-microsoft-com:office:smarttags" w:element="country-region">
                <w:r>
                  <w:rPr>
                    <w:rFonts w:ascii="Arial" w:hAnsi="Arial"/>
                    <w:sz w:val="18"/>
                  </w:rPr>
                  <w:t>Australia</w:t>
                </w:r>
              </w:smartTag>
            </w:smartTag>
            <w:r>
              <w:rPr>
                <w:rFonts w:ascii="Arial" w:hAnsi="Arial"/>
                <w:sz w:val="18"/>
              </w:rPr>
              <w:t xml:space="preserve">, Orange Leaf-nosed Bat and Ghost Bat.  An Australian Museum Website, </w:t>
            </w:r>
            <w:smartTag w:uri="urn:schemas-microsoft-com:office:smarttags" w:element="place">
              <w:smartTag w:uri="urn:schemas-microsoft-com:office:smarttags" w:element="PlaceName">
                <w:r>
                  <w:rPr>
                    <w:rFonts w:ascii="Arial" w:hAnsi="Arial"/>
                    <w:sz w:val="18"/>
                  </w:rPr>
                  <w:t>Australian</w:t>
                </w:r>
              </w:smartTag>
              <w:r>
                <w:rPr>
                  <w:rFonts w:ascii="Arial" w:hAnsi="Arial"/>
                  <w:sz w:val="18"/>
                </w:rPr>
                <w:t xml:space="preserve"> </w:t>
              </w:r>
              <w:smartTag w:uri="urn:schemas-microsoft-com:office:smarttags" w:element="PlaceType">
                <w:r>
                  <w:rPr>
                    <w:rFonts w:ascii="Arial" w:hAnsi="Arial"/>
                    <w:sz w:val="18"/>
                  </w:rPr>
                  <w:t>Museum</w:t>
                </w:r>
              </w:smartTag>
            </w:smartTag>
            <w:r>
              <w:rPr>
                <w:rFonts w:ascii="Arial" w:hAnsi="Arial"/>
                <w:sz w:val="18"/>
              </w:rPr>
              <w:t>, viewed 4 February 2008, &lt;http://www.amonline.net.au/bats/records/bat22.htm&gt; and &lt;</w:t>
            </w:r>
            <w:r>
              <w:t xml:space="preserve"> </w:t>
            </w:r>
            <w:r>
              <w:rPr>
                <w:rFonts w:ascii="Arial" w:hAnsi="Arial"/>
                <w:sz w:val="18"/>
              </w:rPr>
              <w:t xml:space="preserve">http://www.austmus.gov.au/bats/records/bat14.htm&gt;. </w:t>
            </w:r>
          </w:p>
          <w:p w:rsidR="00573D8E" w:rsidRDefault="00573D8E" w:rsidP="00573D8E">
            <w:pPr>
              <w:spacing w:after="20"/>
              <w:ind w:left="850" w:hanging="850"/>
              <w:rPr>
                <w:rFonts w:ascii="Arial" w:hAnsi="Arial"/>
                <w:sz w:val="18"/>
              </w:rPr>
            </w:pPr>
            <w:r>
              <w:rPr>
                <w:rFonts w:ascii="Arial" w:hAnsi="Arial"/>
                <w:sz w:val="18"/>
              </w:rPr>
              <w:t>Australian Wildlife Conservancy (2008).  Wildlife Profiles, Australian Bustard (</w:t>
            </w:r>
            <w:proofErr w:type="spellStart"/>
            <w:r>
              <w:rPr>
                <w:rFonts w:ascii="Arial" w:hAnsi="Arial"/>
                <w:i/>
                <w:sz w:val="18"/>
              </w:rPr>
              <w:t>Ardeotis</w:t>
            </w:r>
            <w:proofErr w:type="spellEnd"/>
            <w:r>
              <w:rPr>
                <w:rFonts w:ascii="Arial" w:hAnsi="Arial"/>
                <w:i/>
                <w:sz w:val="18"/>
              </w:rPr>
              <w:t xml:space="preserve"> </w:t>
            </w:r>
            <w:proofErr w:type="spellStart"/>
            <w:r>
              <w:rPr>
                <w:rFonts w:ascii="Arial" w:hAnsi="Arial"/>
                <w:i/>
                <w:sz w:val="18"/>
              </w:rPr>
              <w:t>australis</w:t>
            </w:r>
            <w:proofErr w:type="spellEnd"/>
            <w:r>
              <w:rPr>
                <w:rFonts w:ascii="Arial" w:hAnsi="Arial"/>
                <w:sz w:val="18"/>
              </w:rPr>
              <w:t>), last updated 24 December 2007, viewed 16 January 2008, &lt;http://www.australianwildlife.org/wildlifeprofiles.asp?WID=360&gt;.</w:t>
            </w:r>
          </w:p>
          <w:p w:rsidR="00573D8E" w:rsidRDefault="00573D8E" w:rsidP="00573D8E">
            <w:pPr>
              <w:spacing w:after="20"/>
              <w:ind w:left="850" w:hanging="850"/>
              <w:rPr>
                <w:rFonts w:ascii="Arial" w:hAnsi="Arial"/>
                <w:sz w:val="18"/>
              </w:rPr>
            </w:pPr>
            <w:r>
              <w:rPr>
                <w:rFonts w:ascii="Arial" w:hAnsi="Arial"/>
                <w:sz w:val="18"/>
              </w:rPr>
              <w:t xml:space="preserve">Biota (2004b).  Proposed Paraburdoo Gas Pipeline.  Desktop Fauna Review.  Unpublished report for Hamersley Iron Pty Ltd, Biota Environmental Services, May 2004. </w:t>
            </w:r>
          </w:p>
          <w:p w:rsidR="00573D8E" w:rsidRDefault="00573D8E" w:rsidP="00573D8E">
            <w:pPr>
              <w:spacing w:after="20"/>
              <w:ind w:left="850" w:hanging="850"/>
              <w:rPr>
                <w:rFonts w:ascii="Arial" w:hAnsi="Arial"/>
                <w:sz w:val="18"/>
              </w:rPr>
            </w:pPr>
            <w:r>
              <w:rPr>
                <w:rFonts w:ascii="Arial" w:hAnsi="Arial"/>
                <w:sz w:val="18"/>
              </w:rPr>
              <w:t>Department of Environment and Climate Change NSW (2008).  Threatened Species, species, populations &amp; ecological communities of NSW, Profile: Australian Bustard, last updated 1 September 2005, viewed 16 January 2008, &lt;http://www.threatenedspecies.environment.nsw.gov.au/tsprofile/profile.aspx?id=10063&gt;.</w:t>
            </w:r>
          </w:p>
          <w:p w:rsidR="00573D8E" w:rsidRDefault="00573D8E" w:rsidP="00573D8E">
            <w:pPr>
              <w:spacing w:after="20"/>
              <w:ind w:left="850" w:hanging="850"/>
              <w:rPr>
                <w:rFonts w:ascii="Arial" w:hAnsi="Arial"/>
                <w:sz w:val="18"/>
              </w:rPr>
            </w:pPr>
            <w:r>
              <w:rPr>
                <w:rFonts w:ascii="Arial" w:hAnsi="Arial"/>
                <w:sz w:val="18"/>
              </w:rPr>
              <w:t xml:space="preserve">Department of Natural Resources and Environment (2002). Biodiversity Action Planning. Action planning for native biodiversity at multiple scales; catchment bioregional, landscape, local. Department of Natural Resources and Environment, </w:t>
            </w:r>
            <w:smartTag w:uri="urn:schemas-microsoft-com:office:smarttags" w:element="place">
              <w:smartTag w:uri="urn:schemas-microsoft-com:office:smarttags" w:element="State">
                <w:r>
                  <w:rPr>
                    <w:rFonts w:ascii="Arial" w:hAnsi="Arial"/>
                    <w:sz w:val="18"/>
                  </w:rPr>
                  <w:t>Victoria</w:t>
                </w:r>
              </w:smartTag>
            </w:smartTag>
            <w:r>
              <w:rPr>
                <w:rFonts w:ascii="Arial" w:hAnsi="Arial"/>
                <w:sz w:val="18"/>
              </w:rPr>
              <w:t>.</w:t>
            </w:r>
          </w:p>
          <w:p w:rsidR="00573D8E" w:rsidRDefault="00573D8E" w:rsidP="00573D8E">
            <w:pPr>
              <w:spacing w:after="20"/>
              <w:ind w:left="850" w:hanging="850"/>
              <w:rPr>
                <w:rFonts w:ascii="Arial" w:hAnsi="Arial"/>
                <w:sz w:val="18"/>
              </w:rPr>
            </w:pPr>
            <w:r>
              <w:rPr>
                <w:rFonts w:ascii="Arial" w:hAnsi="Arial"/>
                <w:sz w:val="18"/>
              </w:rPr>
              <w:t xml:space="preserve">Environment </w:t>
            </w:r>
            <w:smartTag w:uri="urn:schemas-microsoft-com:office:smarttags" w:element="place">
              <w:smartTag w:uri="urn:schemas-microsoft-com:office:smarttags" w:element="country-region">
                <w:r>
                  <w:rPr>
                    <w:rFonts w:ascii="Arial" w:hAnsi="Arial"/>
                    <w:sz w:val="18"/>
                  </w:rPr>
                  <w:t>Australia</w:t>
                </w:r>
              </w:smartTag>
            </w:smartTag>
            <w:r>
              <w:rPr>
                <w:rFonts w:ascii="Arial" w:hAnsi="Arial"/>
                <w:sz w:val="18"/>
              </w:rPr>
              <w:t xml:space="preserve"> (1999). The Action Plan for Australian Bats, Recovery Outlines and </w:t>
            </w:r>
            <w:proofErr w:type="spellStart"/>
            <w:r>
              <w:rPr>
                <w:rFonts w:ascii="Arial" w:hAnsi="Arial"/>
                <w:sz w:val="18"/>
              </w:rPr>
              <w:t>Taxon</w:t>
            </w:r>
            <w:proofErr w:type="spellEnd"/>
            <w:r>
              <w:rPr>
                <w:rFonts w:ascii="Arial" w:hAnsi="Arial"/>
                <w:sz w:val="18"/>
              </w:rPr>
              <w:t xml:space="preserve"> Summaries - Pilbara Leaf-nosed.  Department of Environment, Water, Heritage and the Arts, Australian Government, last updated 3 September 2007, viewed 16 January 2008, &lt;http://www.environment.gov.au/biodiversity/threatened/publications/action/bats/14.html&gt;.</w:t>
            </w:r>
          </w:p>
          <w:p w:rsidR="00573D8E" w:rsidRDefault="00573D8E" w:rsidP="00573D8E">
            <w:pPr>
              <w:spacing w:after="20"/>
              <w:ind w:left="850" w:hanging="850"/>
              <w:rPr>
                <w:rFonts w:ascii="Arial" w:hAnsi="Arial"/>
                <w:sz w:val="18"/>
              </w:rPr>
            </w:pPr>
            <w:r>
              <w:rPr>
                <w:rFonts w:ascii="Arial" w:hAnsi="Arial"/>
                <w:sz w:val="18"/>
              </w:rPr>
              <w:t>EPA QLD (2006). Environmental Protection Agency, Queensland Government,  A search for the Orange Leaf-nosed Bat, The State of Queensland (Environmental Protection Agency) 2008, last updated 31 August 2006, viewed 16 January 2008,  &lt;http://www.epa.qld.gov.au/nature_conservation/wildlife/az_of_animals/micro_bats_the_insect_terminators/orange_leafnosedbat/&gt;.</w:t>
            </w:r>
          </w:p>
          <w:p w:rsidR="00573D8E" w:rsidRDefault="00573D8E" w:rsidP="00573D8E">
            <w:pPr>
              <w:spacing w:after="20"/>
              <w:ind w:left="850" w:hanging="850"/>
              <w:rPr>
                <w:rFonts w:ascii="Arial" w:hAnsi="Arial"/>
                <w:sz w:val="18"/>
              </w:rPr>
            </w:pPr>
            <w:r>
              <w:rPr>
                <w:rFonts w:ascii="Arial" w:hAnsi="Arial"/>
                <w:sz w:val="18"/>
              </w:rPr>
              <w:t xml:space="preserve">Hamersley Iron (2008).  Documentation Accompanying Clearing Permit Application for CPS 2234/1.  Personal correspondence to the Assessing Officer, Prepared by Hamersley Iron Pty Ltd, January 2008.  </w:t>
            </w:r>
          </w:p>
          <w:p w:rsidR="00573D8E" w:rsidRDefault="00573D8E" w:rsidP="00573D8E">
            <w:pPr>
              <w:spacing w:after="20"/>
              <w:ind w:left="850" w:hanging="850"/>
              <w:rPr>
                <w:rFonts w:ascii="Arial" w:hAnsi="Arial"/>
                <w:sz w:val="18"/>
              </w:rPr>
            </w:pPr>
            <w:r>
              <w:rPr>
                <w:rFonts w:ascii="Arial" w:hAnsi="Arial"/>
                <w:sz w:val="18"/>
              </w:rPr>
              <w:t xml:space="preserve">Johnstone, R.E. and </w:t>
            </w:r>
            <w:proofErr w:type="spellStart"/>
            <w:r>
              <w:rPr>
                <w:rFonts w:ascii="Arial" w:hAnsi="Arial"/>
                <w:sz w:val="18"/>
              </w:rPr>
              <w:t>Storr</w:t>
            </w:r>
            <w:proofErr w:type="spellEnd"/>
            <w:r>
              <w:rPr>
                <w:rFonts w:ascii="Arial" w:hAnsi="Arial"/>
                <w:sz w:val="18"/>
              </w:rPr>
              <w:t xml:space="preserve">, G.M. (1998).  Handbook of Western Australian Birds Volume 1, Non-Passerines (Emu to </w:t>
            </w:r>
            <w:proofErr w:type="spellStart"/>
            <w:r>
              <w:rPr>
                <w:rFonts w:ascii="Arial" w:hAnsi="Arial"/>
                <w:sz w:val="18"/>
              </w:rPr>
              <w:t>Dollarbird</w:t>
            </w:r>
            <w:proofErr w:type="spellEnd"/>
            <w:r>
              <w:rPr>
                <w:rFonts w:ascii="Arial" w:hAnsi="Arial"/>
                <w:sz w:val="18"/>
              </w:rPr>
              <w:t xml:space="preserve">), </w:t>
            </w:r>
            <w:smartTag w:uri="urn:schemas-microsoft-com:office:smarttags" w:element="PlaceName">
              <w:r>
                <w:rPr>
                  <w:rFonts w:ascii="Arial" w:hAnsi="Arial"/>
                  <w:sz w:val="18"/>
                </w:rPr>
                <w:t>Western</w:t>
              </w:r>
            </w:smartTag>
            <w:r>
              <w:rPr>
                <w:rFonts w:ascii="Arial" w:hAnsi="Arial"/>
                <w:sz w:val="18"/>
              </w:rPr>
              <w:t xml:space="preserve"> </w:t>
            </w:r>
            <w:smartTag w:uri="urn:schemas-microsoft-com:office:smarttags" w:element="PlaceName">
              <w:r>
                <w:rPr>
                  <w:rFonts w:ascii="Arial" w:hAnsi="Arial"/>
                  <w:sz w:val="18"/>
                </w:rPr>
                <w:t>Australian</w:t>
              </w:r>
            </w:smartTag>
            <w:r>
              <w:rPr>
                <w:rFonts w:ascii="Arial" w:hAnsi="Arial"/>
                <w:sz w:val="18"/>
              </w:rPr>
              <w:t xml:space="preserve"> </w:t>
            </w:r>
            <w:smartTag w:uri="urn:schemas-microsoft-com:office:smarttags" w:element="PlaceType">
              <w:r>
                <w:rPr>
                  <w:rFonts w:ascii="Arial" w:hAnsi="Arial"/>
                  <w:sz w:val="18"/>
                </w:rPr>
                <w:t>Museum</w:t>
              </w:r>
            </w:smartTag>
            <w:r>
              <w:rPr>
                <w:rFonts w:ascii="Arial" w:hAnsi="Arial"/>
                <w:sz w:val="18"/>
              </w:rPr>
              <w:t xml:space="preserve">, </w:t>
            </w:r>
            <w:smartTag w:uri="urn:schemas-microsoft-com:office:smarttags" w:element="place">
              <w:smartTag w:uri="urn:schemas-microsoft-com:office:smarttags" w:element="City">
                <w:r>
                  <w:rPr>
                    <w:rFonts w:ascii="Arial" w:hAnsi="Arial"/>
                    <w:sz w:val="18"/>
                  </w:rPr>
                  <w:t>Perth</w:t>
                </w:r>
              </w:smartTag>
              <w:r>
                <w:rPr>
                  <w:rFonts w:ascii="Arial" w:hAnsi="Arial"/>
                  <w:sz w:val="18"/>
                </w:rPr>
                <w:t xml:space="preserve">, </w:t>
              </w:r>
              <w:smartTag w:uri="urn:schemas-microsoft-com:office:smarttags" w:element="State">
                <w:r>
                  <w:rPr>
                    <w:rFonts w:ascii="Arial" w:hAnsi="Arial"/>
                    <w:sz w:val="18"/>
                  </w:rPr>
                  <w:t>Western Australia</w:t>
                </w:r>
              </w:smartTag>
            </w:smartTag>
            <w:r>
              <w:rPr>
                <w:rFonts w:ascii="Arial" w:hAnsi="Arial"/>
                <w:sz w:val="18"/>
              </w:rPr>
              <w:t xml:space="preserve">. </w:t>
            </w:r>
          </w:p>
          <w:p w:rsidR="00573D8E" w:rsidRDefault="00573D8E" w:rsidP="00573D8E">
            <w:pPr>
              <w:spacing w:after="20"/>
              <w:ind w:left="850" w:hanging="850"/>
              <w:rPr>
                <w:rFonts w:ascii="Arial" w:hAnsi="Arial"/>
                <w:sz w:val="18"/>
              </w:rPr>
            </w:pPr>
            <w:proofErr w:type="spellStart"/>
            <w:r>
              <w:rPr>
                <w:rFonts w:ascii="Arial" w:hAnsi="Arial"/>
                <w:sz w:val="18"/>
              </w:rPr>
              <w:t>Keighery</w:t>
            </w:r>
            <w:proofErr w:type="spellEnd"/>
            <w:r>
              <w:rPr>
                <w:rFonts w:ascii="Arial" w:hAnsi="Arial"/>
                <w:sz w:val="18"/>
              </w:rPr>
              <w:t xml:space="preserve"> B.J. (1994). Bushland Plant Survey: A Guide to Plant Community Survey for the Community. Wildflower Society of WA (Inc). </w:t>
            </w:r>
            <w:smartTag w:uri="urn:schemas-microsoft-com:office:smarttags" w:element="place">
              <w:smartTag w:uri="urn:schemas-microsoft-com:office:smarttags" w:element="City">
                <w:r>
                  <w:rPr>
                    <w:rFonts w:ascii="Arial" w:hAnsi="Arial"/>
                    <w:sz w:val="18"/>
                  </w:rPr>
                  <w:t>Nedlands</w:t>
                </w:r>
              </w:smartTag>
              <w:r>
                <w:rPr>
                  <w:rFonts w:ascii="Arial" w:hAnsi="Arial"/>
                  <w:sz w:val="18"/>
                </w:rPr>
                <w:t xml:space="preserve">, </w:t>
              </w:r>
              <w:smartTag w:uri="urn:schemas-microsoft-com:office:smarttags" w:element="State">
                <w:r>
                  <w:rPr>
                    <w:rFonts w:ascii="Arial" w:hAnsi="Arial"/>
                    <w:sz w:val="18"/>
                  </w:rPr>
                  <w:t>Western Australia</w:t>
                </w:r>
              </w:smartTag>
            </w:smartTag>
            <w:r>
              <w:rPr>
                <w:rFonts w:ascii="Arial" w:hAnsi="Arial"/>
                <w:sz w:val="18"/>
              </w:rPr>
              <w:t xml:space="preserve">. </w:t>
            </w:r>
          </w:p>
          <w:p w:rsidR="00573D8E" w:rsidRDefault="00573D8E" w:rsidP="00573D8E">
            <w:pPr>
              <w:spacing w:after="20"/>
              <w:ind w:left="850" w:hanging="850"/>
              <w:rPr>
                <w:rFonts w:ascii="Arial" w:hAnsi="Arial"/>
                <w:sz w:val="18"/>
              </w:rPr>
            </w:pPr>
            <w:r>
              <w:rPr>
                <w:rFonts w:ascii="Arial" w:hAnsi="Arial"/>
                <w:sz w:val="18"/>
              </w:rPr>
              <w:t xml:space="preserve">Keith Lindbeck and Associates (2007a).  Supporting Documentation for Clearing Permit Application Paraburdoo 11 West Waste Dump Rehabilitation.  Prepared for Pilbara Iron, Prepared by Keith Lindbeck and Associates, October 2007. </w:t>
            </w:r>
          </w:p>
          <w:p w:rsidR="00573D8E" w:rsidRDefault="00573D8E" w:rsidP="00573D8E">
            <w:pPr>
              <w:spacing w:after="20"/>
              <w:ind w:left="850" w:hanging="850"/>
              <w:rPr>
                <w:rFonts w:ascii="Arial" w:hAnsi="Arial"/>
                <w:sz w:val="18"/>
              </w:rPr>
            </w:pPr>
            <w:r>
              <w:rPr>
                <w:rFonts w:ascii="Arial" w:hAnsi="Arial"/>
                <w:sz w:val="18"/>
              </w:rPr>
              <w:t xml:space="preserve">Keith Lindbeck and Associates (2007b).  Flora and Vegetation Survey of the Paraburdoo Tailings Dam Stage 3 Development and Supporting Documentation for Clearing Permit Application.  Prepared for Pilbara Iron, Prepared by Keith Lindbeck and Associates, September 2007. </w:t>
            </w:r>
          </w:p>
          <w:p w:rsidR="00573D8E" w:rsidRDefault="00573D8E" w:rsidP="00573D8E">
            <w:pPr>
              <w:spacing w:after="20"/>
              <w:ind w:left="850" w:hanging="850"/>
              <w:rPr>
                <w:rFonts w:ascii="Arial" w:hAnsi="Arial"/>
                <w:sz w:val="18"/>
              </w:rPr>
            </w:pPr>
            <w:r>
              <w:rPr>
                <w:rFonts w:ascii="Arial" w:hAnsi="Arial"/>
                <w:sz w:val="18"/>
              </w:rPr>
              <w:t xml:space="preserve">Kendrick, P. (2001).  Pilbara 3 (PIL3 Hamersley Subregion).  In a Biodiversity Audit of </w:t>
            </w:r>
            <w:smartTag w:uri="urn:schemas-microsoft-com:office:smarttags" w:element="place">
              <w:smartTag w:uri="urn:schemas-microsoft-com:office:smarttags" w:element="State">
                <w:r>
                  <w:rPr>
                    <w:rFonts w:ascii="Arial" w:hAnsi="Arial"/>
                    <w:sz w:val="18"/>
                  </w:rPr>
                  <w:t>Western Australia</w:t>
                </w:r>
              </w:smartTag>
            </w:smartTag>
            <w:r>
              <w:rPr>
                <w:rFonts w:ascii="Arial" w:hAnsi="Arial"/>
                <w:sz w:val="18"/>
              </w:rPr>
              <w:t xml:space="preserve">'s 53 </w:t>
            </w:r>
            <w:proofErr w:type="spellStart"/>
            <w:r>
              <w:rPr>
                <w:rFonts w:ascii="Arial" w:hAnsi="Arial"/>
                <w:sz w:val="18"/>
              </w:rPr>
              <w:t>Biogeographical</w:t>
            </w:r>
            <w:proofErr w:type="spellEnd"/>
            <w:r>
              <w:rPr>
                <w:rFonts w:ascii="Arial" w:hAnsi="Arial"/>
                <w:sz w:val="18"/>
              </w:rPr>
              <w:t xml:space="preserve"> Subregions.  Department of Conservation and Land Management, pp 568-580. </w:t>
            </w:r>
          </w:p>
          <w:p w:rsidR="00573D8E" w:rsidRDefault="00573D8E" w:rsidP="00573D8E">
            <w:pPr>
              <w:spacing w:after="20"/>
              <w:ind w:left="850" w:hanging="850"/>
              <w:rPr>
                <w:rFonts w:ascii="Arial" w:hAnsi="Arial"/>
                <w:sz w:val="18"/>
              </w:rPr>
            </w:pPr>
            <w:r>
              <w:rPr>
                <w:rFonts w:ascii="Arial" w:hAnsi="Arial"/>
                <w:sz w:val="18"/>
              </w:rPr>
              <w:t>Shepherd, D.P. (2007). Adapted from: Shepherd, D.P., Beeston, G.R., and Hopkins, A.J.M. (2001), Native Vegetation in Western Australia. Technical Report 249.  Department of Agriculture Western Australia, South Perth. Includes subsequent updates for 2006 from Vegetation Extent dataset ANZWA1050000124.</w:t>
            </w:r>
          </w:p>
          <w:p w:rsidR="00D12AB0" w:rsidRDefault="00573D8E" w:rsidP="00573D8E">
            <w:pPr>
              <w:spacing w:after="20"/>
              <w:ind w:left="850" w:hanging="850"/>
              <w:rPr>
                <w:rFonts w:ascii="Arial" w:hAnsi="Arial"/>
                <w:sz w:val="18"/>
              </w:rPr>
            </w:pPr>
            <w:r>
              <w:rPr>
                <w:rFonts w:ascii="Arial" w:hAnsi="Arial"/>
                <w:sz w:val="18"/>
              </w:rPr>
              <w:t xml:space="preserve">Van </w:t>
            </w:r>
            <w:proofErr w:type="spellStart"/>
            <w:r>
              <w:rPr>
                <w:rFonts w:ascii="Arial" w:hAnsi="Arial"/>
                <w:sz w:val="18"/>
              </w:rPr>
              <w:t>Vreeswyk</w:t>
            </w:r>
            <w:proofErr w:type="spellEnd"/>
            <w:r>
              <w:rPr>
                <w:rFonts w:ascii="Arial" w:hAnsi="Arial"/>
                <w:sz w:val="18"/>
              </w:rPr>
              <w:t xml:space="preserve"> A.M.E., Payne A.L., Leighton K.A. and </w:t>
            </w:r>
            <w:proofErr w:type="spellStart"/>
            <w:r>
              <w:rPr>
                <w:rFonts w:ascii="Arial" w:hAnsi="Arial"/>
                <w:sz w:val="18"/>
              </w:rPr>
              <w:t>Hennig</w:t>
            </w:r>
            <w:proofErr w:type="spellEnd"/>
            <w:r>
              <w:rPr>
                <w:rFonts w:ascii="Arial" w:hAnsi="Arial"/>
                <w:sz w:val="18"/>
              </w:rPr>
              <w:t xml:space="preserve"> P. (2004).  Technical Bulletin - An inventory and condition survey of rangelands in Pilbara Region, Western Australia, No 92, Department of Agriculture, Government of Western Australia, </w:t>
            </w:r>
            <w:proofErr w:type="gramStart"/>
            <w:r>
              <w:rPr>
                <w:rFonts w:ascii="Arial" w:hAnsi="Arial"/>
                <w:sz w:val="18"/>
              </w:rPr>
              <w:t>Perth</w:t>
            </w:r>
            <w:proofErr w:type="gramEnd"/>
            <w:r>
              <w:rPr>
                <w:rFonts w:ascii="Arial" w:hAnsi="Arial"/>
                <w:sz w:val="18"/>
              </w:rPr>
              <w:t xml:space="preserve">, Western Australia. </w:t>
            </w:r>
          </w:p>
        </w:tc>
      </w:tr>
    </w:tbl>
    <w:p w:rsidR="00D12AB0" w:rsidRDefault="00D12AB0"/>
    <w:p w:rsidR="00D12AB0" w:rsidRDefault="00D12AB0">
      <w:pPr>
        <w:pStyle w:val="Footer"/>
        <w:keepLines/>
        <w:tabs>
          <w:tab w:val="clear" w:pos="4153"/>
          <w:tab w:val="clear" w:pos="8306"/>
        </w:tabs>
        <w:spacing w:after="120"/>
        <w:rPr>
          <w:rFonts w:ascii="Arial" w:hAnsi="Arial"/>
          <w:sz w:val="16"/>
        </w:rPr>
      </w:pPr>
    </w:p>
    <w:p w:rsidR="00D12AB0" w:rsidRDefault="00D12AB0">
      <w:pPr>
        <w:pStyle w:val="Heading1"/>
      </w:pPr>
      <w:r>
        <w:lastRenderedPageBreak/>
        <w:t>Glossary</w:t>
      </w:r>
    </w:p>
    <w:p w:rsidR="00D12AB0" w:rsidRDefault="00D12AB0"/>
    <w:p w:rsidR="00E73A9F" w:rsidRDefault="00E73A9F" w:rsidP="00E73A9F">
      <w:pPr>
        <w:spacing w:after="20"/>
        <w:ind w:left="141"/>
        <w:rPr>
          <w:rFonts w:ascii="Arial" w:hAnsi="Arial"/>
          <w:b/>
          <w:sz w:val="20"/>
          <w:u w:val="single"/>
        </w:rPr>
      </w:pPr>
      <w:r>
        <w:rPr>
          <w:rFonts w:ascii="Arial" w:hAnsi="Arial"/>
          <w:b/>
          <w:sz w:val="20"/>
        </w:rPr>
        <w:t xml:space="preserve">  </w:t>
      </w:r>
      <w:r>
        <w:rPr>
          <w:rFonts w:ascii="Arial" w:hAnsi="Arial"/>
          <w:b/>
          <w:sz w:val="20"/>
          <w:u w:val="single"/>
        </w:rPr>
        <w:t>Acronyms:</w:t>
      </w:r>
    </w:p>
    <w:p w:rsidR="00E73A9F" w:rsidRDefault="00E73A9F" w:rsidP="00E73A9F">
      <w:pPr>
        <w:spacing w:after="20"/>
        <w:ind w:left="141"/>
        <w:rPr>
          <w:rFonts w:ascii="Arial" w:hAnsi="Arial"/>
          <w:b/>
          <w:sz w:val="12"/>
          <w:szCs w:val="12"/>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74"/>
        <w:gridCol w:w="8896"/>
      </w:tblGrid>
      <w:tr w:rsidR="00E73A9F">
        <w:tc>
          <w:tcPr>
            <w:tcW w:w="1276" w:type="dxa"/>
          </w:tcPr>
          <w:p w:rsidR="00E73A9F" w:rsidRDefault="00E73A9F">
            <w:pPr>
              <w:spacing w:after="20"/>
              <w:rPr>
                <w:rFonts w:ascii="Arial" w:hAnsi="Arial"/>
                <w:b/>
                <w:sz w:val="12"/>
                <w:szCs w:val="12"/>
              </w:rPr>
            </w:pPr>
            <w:proofErr w:type="spellStart"/>
            <w:r>
              <w:rPr>
                <w:rFonts w:ascii="Arial" w:hAnsi="Arial" w:cs="Arial"/>
                <w:b/>
                <w:sz w:val="18"/>
                <w:szCs w:val="18"/>
              </w:rPr>
              <w:t>BoM</w:t>
            </w:r>
            <w:proofErr w:type="spellEnd"/>
          </w:p>
        </w:tc>
        <w:tc>
          <w:tcPr>
            <w:tcW w:w="8930" w:type="dxa"/>
          </w:tcPr>
          <w:p w:rsidR="00E73A9F" w:rsidRDefault="00E73A9F">
            <w:pPr>
              <w:spacing w:after="20"/>
              <w:rPr>
                <w:rFonts w:ascii="Arial" w:hAnsi="Arial"/>
                <w:b/>
                <w:sz w:val="12"/>
                <w:szCs w:val="12"/>
              </w:rPr>
            </w:pPr>
            <w:r>
              <w:rPr>
                <w:rFonts w:ascii="Arial" w:hAnsi="Arial" w:cs="Arial"/>
                <w:sz w:val="18"/>
                <w:szCs w:val="18"/>
              </w:rPr>
              <w:t>Bureau of Meteorology,</w:t>
            </w:r>
            <w:r>
              <w:rPr>
                <w:rFonts w:ascii="Arial" w:hAnsi="Arial" w:cs="Arial"/>
                <w:b/>
                <w:sz w:val="18"/>
                <w:szCs w:val="18"/>
              </w:rPr>
              <w:t xml:space="preserve"> </w:t>
            </w:r>
            <w:r>
              <w:rPr>
                <w:rFonts w:ascii="Arial" w:hAnsi="Arial" w:cs="Arial"/>
                <w:sz w:val="18"/>
                <w:szCs w:val="18"/>
              </w:rPr>
              <w:t>Australian Government.</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CALM</w:t>
            </w:r>
          </w:p>
        </w:tc>
        <w:tc>
          <w:tcPr>
            <w:tcW w:w="8930" w:type="dxa"/>
          </w:tcPr>
          <w:p w:rsidR="00E73A9F" w:rsidRDefault="00E73A9F">
            <w:pPr>
              <w:spacing w:after="20"/>
              <w:rPr>
                <w:rFonts w:ascii="Arial" w:hAnsi="Arial"/>
                <w:b/>
                <w:sz w:val="12"/>
                <w:szCs w:val="12"/>
              </w:rPr>
            </w:pPr>
            <w:r>
              <w:rPr>
                <w:rFonts w:ascii="Arial" w:hAnsi="Arial" w:cs="Arial"/>
                <w:sz w:val="18"/>
                <w:szCs w:val="18"/>
              </w:rPr>
              <w:t xml:space="preserve">Department of Conservation and Land Management, </w:t>
            </w:r>
            <w:smartTag w:uri="urn:schemas-microsoft-com:office:smarttags" w:element="State">
              <w:smartTag w:uri="urn:schemas-microsoft-com:office:smarttags" w:element="place">
                <w:smartTag w:uri="urn:schemas-microsoft-com:office:smarttags" w:element="PlaceType">
                  <w:smartTag w:uri="urn:schemas-microsoft-com:office:smarttags" w:element="PlaceName">
                    <w:r>
                      <w:rPr>
                        <w:rFonts w:ascii="Arial" w:hAnsi="Arial" w:cs="Arial"/>
                        <w:sz w:val="18"/>
                        <w:szCs w:val="18"/>
                      </w:rPr>
                      <w:t>Western Australia</w:t>
                    </w:r>
                  </w:smartTag>
                </w:smartTag>
              </w:smartTag>
            </w:smartTag>
            <w:r>
              <w:rPr>
                <w:rFonts w:ascii="Arial" w:hAnsi="Arial" w:cs="Arial"/>
                <w:sz w:val="18"/>
                <w:szCs w:val="18"/>
              </w:rPr>
              <w:t>.</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DA</w:t>
            </w:r>
            <w:r w:rsidR="004337AC">
              <w:rPr>
                <w:rFonts w:ascii="Arial" w:hAnsi="Arial" w:cs="Arial"/>
                <w:b/>
                <w:sz w:val="18"/>
                <w:szCs w:val="18"/>
              </w:rPr>
              <w:t>F</w:t>
            </w:r>
            <w:r>
              <w:rPr>
                <w:rFonts w:ascii="Arial" w:hAnsi="Arial" w:cs="Arial"/>
                <w:b/>
                <w:sz w:val="18"/>
                <w:szCs w:val="18"/>
              </w:rPr>
              <w:t>WA</w:t>
            </w:r>
          </w:p>
        </w:tc>
        <w:tc>
          <w:tcPr>
            <w:tcW w:w="8930" w:type="dxa"/>
          </w:tcPr>
          <w:p w:rsidR="00E73A9F" w:rsidRDefault="00E73A9F">
            <w:pPr>
              <w:spacing w:after="20"/>
              <w:rPr>
                <w:rFonts w:ascii="Arial" w:hAnsi="Arial"/>
                <w:b/>
                <w:sz w:val="12"/>
                <w:szCs w:val="12"/>
              </w:rPr>
            </w:pPr>
            <w:r>
              <w:rPr>
                <w:rFonts w:ascii="Arial" w:hAnsi="Arial" w:cs="Arial"/>
                <w:sz w:val="18"/>
                <w:szCs w:val="18"/>
              </w:rPr>
              <w:t>Department of Agriculture</w:t>
            </w:r>
            <w:r w:rsidR="004337AC">
              <w:rPr>
                <w:rFonts w:ascii="Arial" w:hAnsi="Arial" w:cs="Arial"/>
                <w:sz w:val="18"/>
                <w:szCs w:val="18"/>
              </w:rPr>
              <w:t xml:space="preserve"> and Food</w:t>
            </w:r>
            <w:r>
              <w:rPr>
                <w:rFonts w:ascii="Arial" w:hAnsi="Arial" w:cs="Arial"/>
                <w:sz w:val="18"/>
                <w:szCs w:val="18"/>
              </w:rPr>
              <w:t>, Western Australia.</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DA</w:t>
            </w:r>
          </w:p>
        </w:tc>
        <w:tc>
          <w:tcPr>
            <w:tcW w:w="8930" w:type="dxa"/>
          </w:tcPr>
          <w:p w:rsidR="00E73A9F" w:rsidRDefault="00E73A9F">
            <w:pPr>
              <w:spacing w:after="20"/>
              <w:rPr>
                <w:rFonts w:ascii="Arial" w:hAnsi="Arial"/>
                <w:b/>
                <w:sz w:val="12"/>
                <w:szCs w:val="12"/>
              </w:rPr>
            </w:pPr>
            <w:r>
              <w:rPr>
                <w:rFonts w:ascii="Arial" w:hAnsi="Arial" w:cs="Arial"/>
                <w:sz w:val="18"/>
                <w:szCs w:val="18"/>
              </w:rPr>
              <w:t xml:space="preserve">Department of Agriculture, </w:t>
            </w:r>
            <w:smartTag w:uri="urn:schemas-microsoft-com:office:smarttags" w:element="State">
              <w:smartTag w:uri="urn:schemas-microsoft-com:office:smarttags" w:element="place">
                <w:smartTag w:uri="urn:schemas-microsoft-com:office:smarttags" w:element="PlaceName">
                  <w:smartTag w:uri="urn:schemas-microsoft-com:office:smarttags" w:element="PlaceType">
                    <w:r>
                      <w:rPr>
                        <w:rFonts w:ascii="Arial" w:hAnsi="Arial" w:cs="Arial"/>
                        <w:sz w:val="18"/>
                        <w:szCs w:val="18"/>
                      </w:rPr>
                      <w:t>Western Australia</w:t>
                    </w:r>
                  </w:smartTag>
                </w:smartTag>
              </w:smartTag>
            </w:smartTag>
            <w:r>
              <w:rPr>
                <w:rFonts w:ascii="Arial" w:hAnsi="Arial" w:cs="Arial"/>
                <w:sz w:val="18"/>
                <w:szCs w:val="18"/>
              </w:rPr>
              <w:t>.</w:t>
            </w:r>
          </w:p>
        </w:tc>
      </w:tr>
      <w:tr w:rsidR="000F4537">
        <w:tc>
          <w:tcPr>
            <w:tcW w:w="1276" w:type="dxa"/>
          </w:tcPr>
          <w:p w:rsidR="000F4537" w:rsidRDefault="000F4537">
            <w:pPr>
              <w:spacing w:after="20"/>
              <w:rPr>
                <w:rFonts w:ascii="Arial" w:hAnsi="Arial" w:cs="Arial"/>
                <w:b/>
                <w:sz w:val="18"/>
                <w:szCs w:val="18"/>
              </w:rPr>
            </w:pPr>
            <w:r>
              <w:rPr>
                <w:rFonts w:ascii="Arial" w:hAnsi="Arial" w:cs="Arial"/>
                <w:b/>
                <w:sz w:val="18"/>
                <w:szCs w:val="18"/>
              </w:rPr>
              <w:t>DEC</w:t>
            </w:r>
          </w:p>
        </w:tc>
        <w:tc>
          <w:tcPr>
            <w:tcW w:w="8930" w:type="dxa"/>
          </w:tcPr>
          <w:p w:rsidR="000F4537" w:rsidRDefault="000F4537">
            <w:pPr>
              <w:spacing w:after="20"/>
              <w:rPr>
                <w:rFonts w:ascii="Arial" w:hAnsi="Arial" w:cs="Arial"/>
                <w:sz w:val="18"/>
                <w:szCs w:val="18"/>
              </w:rPr>
            </w:pPr>
            <w:r>
              <w:rPr>
                <w:rFonts w:ascii="Arial" w:hAnsi="Arial" w:cs="Arial"/>
                <w:sz w:val="18"/>
                <w:szCs w:val="18"/>
              </w:rPr>
              <w:t>Department of Environment and Conservation</w:t>
            </w:r>
          </w:p>
        </w:tc>
      </w:tr>
      <w:tr w:rsidR="00E73A9F">
        <w:tc>
          <w:tcPr>
            <w:tcW w:w="1276" w:type="dxa"/>
          </w:tcPr>
          <w:p w:rsidR="00E73A9F" w:rsidRDefault="00E73A9F">
            <w:pPr>
              <w:spacing w:after="20"/>
              <w:rPr>
                <w:rFonts w:ascii="Arial" w:hAnsi="Arial" w:cs="Arial"/>
                <w:b/>
                <w:sz w:val="18"/>
                <w:szCs w:val="18"/>
              </w:rPr>
            </w:pPr>
            <w:r>
              <w:rPr>
                <w:rFonts w:ascii="Arial" w:hAnsi="Arial" w:cs="Arial"/>
                <w:b/>
                <w:sz w:val="18"/>
                <w:szCs w:val="18"/>
              </w:rPr>
              <w:t>DEH</w:t>
            </w:r>
          </w:p>
        </w:tc>
        <w:tc>
          <w:tcPr>
            <w:tcW w:w="8930" w:type="dxa"/>
          </w:tcPr>
          <w:p w:rsidR="00E73A9F" w:rsidRDefault="00E73A9F">
            <w:pPr>
              <w:spacing w:after="20"/>
              <w:rPr>
                <w:rFonts w:ascii="Arial" w:hAnsi="Arial" w:cs="Arial"/>
                <w:sz w:val="18"/>
                <w:szCs w:val="18"/>
              </w:rPr>
            </w:pPr>
            <w:r>
              <w:rPr>
                <w:rFonts w:ascii="Arial" w:hAnsi="Arial" w:cs="Arial"/>
                <w:sz w:val="18"/>
                <w:szCs w:val="18"/>
              </w:rPr>
              <w:t xml:space="preserve">Department  of Environment and Heritage (federal based in </w:t>
            </w:r>
            <w:smartTag w:uri="urn:schemas-microsoft-com:office:smarttags" w:element="place">
              <w:smartTag w:uri="urn:schemas-microsoft-com:office:smarttags" w:element="City">
                <w:smartTag w:uri="urn:schemas-microsoft-com:office:smarttags" w:element="PlaceType">
                  <w:r>
                    <w:rPr>
                      <w:rFonts w:ascii="Arial" w:hAnsi="Arial" w:cs="Arial"/>
                      <w:sz w:val="18"/>
                      <w:szCs w:val="18"/>
                    </w:rPr>
                    <w:t>Canberra</w:t>
                  </w:r>
                </w:smartTag>
              </w:smartTag>
            </w:smartTag>
            <w:r>
              <w:rPr>
                <w:rFonts w:ascii="Arial" w:hAnsi="Arial" w:cs="Arial"/>
                <w:sz w:val="18"/>
                <w:szCs w:val="18"/>
              </w:rPr>
              <w:t>) previously Environment Australia</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DEP</w:t>
            </w:r>
          </w:p>
        </w:tc>
        <w:tc>
          <w:tcPr>
            <w:tcW w:w="8930" w:type="dxa"/>
          </w:tcPr>
          <w:p w:rsidR="00E73A9F" w:rsidRDefault="00E73A9F">
            <w:pPr>
              <w:spacing w:after="20"/>
              <w:rPr>
                <w:rFonts w:ascii="Arial" w:hAnsi="Arial"/>
                <w:b/>
                <w:sz w:val="12"/>
                <w:szCs w:val="12"/>
              </w:rPr>
            </w:pPr>
            <w:r>
              <w:rPr>
                <w:rFonts w:ascii="Arial" w:hAnsi="Arial" w:cs="Arial"/>
                <w:sz w:val="18"/>
                <w:szCs w:val="18"/>
              </w:rPr>
              <w:t xml:space="preserve">Department of Environment Protection (now DoE), </w:t>
            </w:r>
            <w:smartTag w:uri="urn:schemas-microsoft-com:office:smarttags" w:element="State">
              <w:smartTag w:uri="urn:schemas-microsoft-com:office:smarttags" w:element="place">
                <w:smartTag w:uri="urn:schemas-microsoft-com:office:smarttags" w:element="PlaceType">
                  <w:smartTag w:uri="urn:schemas-microsoft-com:office:smarttags" w:element="PlaceName">
                    <w:r>
                      <w:rPr>
                        <w:rFonts w:ascii="Arial" w:hAnsi="Arial" w:cs="Arial"/>
                        <w:sz w:val="18"/>
                        <w:szCs w:val="18"/>
                      </w:rPr>
                      <w:t>Western Australia</w:t>
                    </w:r>
                  </w:smartTag>
                </w:smartTag>
              </w:smartTag>
            </w:smartTag>
            <w:r>
              <w:rPr>
                <w:rFonts w:ascii="Arial" w:hAnsi="Arial" w:cs="Arial"/>
                <w:sz w:val="18"/>
                <w:szCs w:val="18"/>
              </w:rPr>
              <w:t>.</w:t>
            </w:r>
          </w:p>
        </w:tc>
      </w:tr>
      <w:tr w:rsidR="00E73A9F">
        <w:tc>
          <w:tcPr>
            <w:tcW w:w="1276" w:type="dxa"/>
          </w:tcPr>
          <w:p w:rsidR="00E73A9F" w:rsidRDefault="00E73A9F">
            <w:pPr>
              <w:spacing w:after="20"/>
              <w:rPr>
                <w:rFonts w:ascii="Arial" w:hAnsi="Arial" w:cs="Arial"/>
                <w:b/>
                <w:sz w:val="18"/>
                <w:szCs w:val="18"/>
              </w:rPr>
            </w:pPr>
            <w:r>
              <w:rPr>
                <w:rFonts w:ascii="Arial" w:hAnsi="Arial" w:cs="Arial"/>
                <w:b/>
                <w:sz w:val="18"/>
                <w:szCs w:val="18"/>
              </w:rPr>
              <w:t>DIA</w:t>
            </w:r>
          </w:p>
        </w:tc>
        <w:tc>
          <w:tcPr>
            <w:tcW w:w="8930" w:type="dxa"/>
          </w:tcPr>
          <w:p w:rsidR="00E73A9F" w:rsidRDefault="00E73A9F">
            <w:pPr>
              <w:tabs>
                <w:tab w:val="left" w:pos="1276"/>
              </w:tabs>
              <w:jc w:val="both"/>
              <w:rPr>
                <w:rFonts w:ascii="Arial" w:hAnsi="Arial" w:cs="Arial"/>
                <w:sz w:val="18"/>
                <w:szCs w:val="18"/>
              </w:rPr>
            </w:pPr>
            <w:r>
              <w:rPr>
                <w:rFonts w:ascii="Arial" w:hAnsi="Arial" w:cs="Arial"/>
                <w:sz w:val="18"/>
                <w:szCs w:val="18"/>
              </w:rPr>
              <w:t>Department of Indigenous Affairs</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DLI</w:t>
            </w:r>
          </w:p>
        </w:tc>
        <w:tc>
          <w:tcPr>
            <w:tcW w:w="8930" w:type="dxa"/>
          </w:tcPr>
          <w:p w:rsidR="00E73A9F" w:rsidRDefault="00E73A9F">
            <w:pPr>
              <w:tabs>
                <w:tab w:val="left" w:pos="1276"/>
              </w:tabs>
              <w:jc w:val="both"/>
              <w:rPr>
                <w:rFonts w:ascii="Arial" w:hAnsi="Arial" w:cs="Arial"/>
                <w:sz w:val="18"/>
                <w:szCs w:val="18"/>
              </w:rPr>
            </w:pPr>
            <w:r>
              <w:rPr>
                <w:rFonts w:ascii="Arial" w:hAnsi="Arial" w:cs="Arial"/>
                <w:sz w:val="18"/>
                <w:szCs w:val="18"/>
              </w:rPr>
              <w:t xml:space="preserve">Department of Land Information, </w:t>
            </w:r>
            <w:smartTag w:uri="urn:schemas-microsoft-com:office:smarttags" w:element="State">
              <w:smartTag w:uri="urn:schemas-microsoft-com:office:smarttags" w:element="place">
                <w:smartTag w:uri="urn:schemas-microsoft-com:office:smarttags" w:element="PlaceName">
                  <w:smartTag w:uri="urn:schemas-microsoft-com:office:smarttags" w:element="PlaceType">
                    <w:r>
                      <w:rPr>
                        <w:rFonts w:ascii="Arial" w:hAnsi="Arial" w:cs="Arial"/>
                        <w:sz w:val="18"/>
                        <w:szCs w:val="18"/>
                      </w:rPr>
                      <w:t>Western Australia</w:t>
                    </w:r>
                  </w:smartTag>
                </w:smartTag>
              </w:smartTag>
            </w:smartTag>
            <w:r>
              <w:rPr>
                <w:rFonts w:ascii="Arial" w:hAnsi="Arial" w:cs="Arial"/>
                <w:sz w:val="18"/>
                <w:szCs w:val="18"/>
              </w:rPr>
              <w:t>.</w:t>
            </w:r>
          </w:p>
        </w:tc>
      </w:tr>
      <w:tr w:rsidR="009553A7">
        <w:tc>
          <w:tcPr>
            <w:tcW w:w="1276" w:type="dxa"/>
          </w:tcPr>
          <w:p w:rsidR="009553A7" w:rsidRDefault="009553A7">
            <w:pPr>
              <w:spacing w:after="20"/>
              <w:rPr>
                <w:rFonts w:ascii="Arial" w:hAnsi="Arial" w:cs="Arial"/>
                <w:b/>
                <w:sz w:val="18"/>
                <w:szCs w:val="18"/>
              </w:rPr>
            </w:pPr>
            <w:r>
              <w:rPr>
                <w:rFonts w:ascii="Arial" w:hAnsi="Arial" w:cs="Arial"/>
                <w:b/>
                <w:sz w:val="18"/>
                <w:szCs w:val="18"/>
              </w:rPr>
              <w:t>DMP</w:t>
            </w:r>
          </w:p>
        </w:tc>
        <w:tc>
          <w:tcPr>
            <w:tcW w:w="8930" w:type="dxa"/>
          </w:tcPr>
          <w:p w:rsidR="009553A7" w:rsidRDefault="009553A7">
            <w:pPr>
              <w:spacing w:after="20"/>
              <w:rPr>
                <w:rFonts w:ascii="Arial" w:hAnsi="Arial" w:cs="Arial"/>
                <w:sz w:val="18"/>
                <w:szCs w:val="18"/>
              </w:rPr>
            </w:pPr>
            <w:r>
              <w:rPr>
                <w:rFonts w:ascii="Arial" w:hAnsi="Arial" w:cs="Arial"/>
                <w:sz w:val="18"/>
                <w:szCs w:val="18"/>
              </w:rPr>
              <w:t xml:space="preserve">Department of Mines and Petroleum, </w:t>
            </w:r>
            <w:smartTag w:uri="urn:schemas-microsoft-com:office:smarttags" w:element="State">
              <w:smartTag w:uri="urn:schemas-microsoft-com:office:smarttags" w:element="place">
                <w:r>
                  <w:rPr>
                    <w:rFonts w:ascii="Arial" w:hAnsi="Arial" w:cs="Arial"/>
                    <w:sz w:val="18"/>
                    <w:szCs w:val="18"/>
                  </w:rPr>
                  <w:t>Western Australia</w:t>
                </w:r>
              </w:smartTag>
            </w:smartTag>
            <w:r>
              <w:rPr>
                <w:rFonts w:ascii="Arial" w:hAnsi="Arial" w:cs="Arial"/>
                <w:sz w:val="18"/>
                <w:szCs w:val="18"/>
              </w:rPr>
              <w:t>.</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DoE</w:t>
            </w:r>
          </w:p>
        </w:tc>
        <w:tc>
          <w:tcPr>
            <w:tcW w:w="8930" w:type="dxa"/>
          </w:tcPr>
          <w:p w:rsidR="00E73A9F" w:rsidRDefault="00E73A9F">
            <w:pPr>
              <w:spacing w:after="20"/>
              <w:rPr>
                <w:rFonts w:ascii="Arial" w:hAnsi="Arial"/>
                <w:b/>
                <w:sz w:val="12"/>
                <w:szCs w:val="12"/>
              </w:rPr>
            </w:pPr>
            <w:r>
              <w:rPr>
                <w:rFonts w:ascii="Arial" w:hAnsi="Arial" w:cs="Arial"/>
                <w:sz w:val="18"/>
                <w:szCs w:val="18"/>
              </w:rPr>
              <w:t xml:space="preserve">Department of Environment, </w:t>
            </w:r>
            <w:smartTag w:uri="urn:schemas-microsoft-com:office:smarttags" w:element="State">
              <w:smartTag w:uri="urn:schemas-microsoft-com:office:smarttags" w:element="place">
                <w:smartTag w:uri="urn:schemas-microsoft-com:office:smarttags" w:element="PlaceName">
                  <w:smartTag w:uri="urn:schemas-microsoft-com:office:smarttags" w:element="PlaceType">
                    <w:r>
                      <w:rPr>
                        <w:rFonts w:ascii="Arial" w:hAnsi="Arial" w:cs="Arial"/>
                        <w:sz w:val="18"/>
                        <w:szCs w:val="18"/>
                      </w:rPr>
                      <w:t>Western Australia</w:t>
                    </w:r>
                  </w:smartTag>
                </w:smartTag>
              </w:smartTag>
            </w:smartTag>
            <w:r>
              <w:rPr>
                <w:rFonts w:ascii="Arial" w:hAnsi="Arial" w:cs="Arial"/>
                <w:sz w:val="18"/>
                <w:szCs w:val="18"/>
              </w:rPr>
              <w:t>.</w:t>
            </w:r>
          </w:p>
        </w:tc>
      </w:tr>
      <w:tr w:rsidR="00E73A9F">
        <w:tc>
          <w:tcPr>
            <w:tcW w:w="1276" w:type="dxa"/>
          </w:tcPr>
          <w:p w:rsidR="00E73A9F" w:rsidRDefault="00E73A9F">
            <w:pPr>
              <w:spacing w:after="20"/>
              <w:rPr>
                <w:rFonts w:ascii="Arial" w:hAnsi="Arial"/>
                <w:b/>
                <w:sz w:val="12"/>
                <w:szCs w:val="12"/>
              </w:rPr>
            </w:pPr>
            <w:proofErr w:type="spellStart"/>
            <w:r>
              <w:rPr>
                <w:rFonts w:ascii="Arial" w:hAnsi="Arial" w:cs="Arial"/>
                <w:b/>
                <w:sz w:val="18"/>
                <w:szCs w:val="18"/>
              </w:rPr>
              <w:t>DoIR</w:t>
            </w:r>
            <w:proofErr w:type="spellEnd"/>
          </w:p>
        </w:tc>
        <w:tc>
          <w:tcPr>
            <w:tcW w:w="8930" w:type="dxa"/>
          </w:tcPr>
          <w:p w:rsidR="00E73A9F" w:rsidRDefault="00E73A9F">
            <w:pPr>
              <w:spacing w:after="20"/>
              <w:rPr>
                <w:rFonts w:ascii="Arial" w:hAnsi="Arial"/>
                <w:b/>
                <w:sz w:val="12"/>
                <w:szCs w:val="12"/>
              </w:rPr>
            </w:pPr>
            <w:r>
              <w:rPr>
                <w:rFonts w:ascii="Arial" w:hAnsi="Arial" w:cs="Arial"/>
                <w:sz w:val="18"/>
                <w:szCs w:val="18"/>
              </w:rPr>
              <w:t xml:space="preserve">Department of Industry and Resources, </w:t>
            </w:r>
            <w:smartTag w:uri="urn:schemas-microsoft-com:office:smarttags" w:element="State">
              <w:smartTag w:uri="urn:schemas-microsoft-com:office:smarttags" w:element="place">
                <w:smartTag w:uri="urn:schemas-microsoft-com:office:smarttags" w:element="PlaceName">
                  <w:smartTag w:uri="urn:schemas-microsoft-com:office:smarttags" w:element="PlaceType">
                    <w:r>
                      <w:rPr>
                        <w:rFonts w:ascii="Arial" w:hAnsi="Arial" w:cs="Arial"/>
                        <w:sz w:val="18"/>
                        <w:szCs w:val="18"/>
                      </w:rPr>
                      <w:t>Western Australia</w:t>
                    </w:r>
                  </w:smartTag>
                </w:smartTag>
              </w:smartTag>
            </w:smartTag>
            <w:r>
              <w:rPr>
                <w:rFonts w:ascii="Arial" w:hAnsi="Arial" w:cs="Arial"/>
                <w:sz w:val="18"/>
                <w:szCs w:val="18"/>
              </w:rPr>
              <w:t>.</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DOLA</w:t>
            </w:r>
          </w:p>
        </w:tc>
        <w:tc>
          <w:tcPr>
            <w:tcW w:w="8930" w:type="dxa"/>
          </w:tcPr>
          <w:p w:rsidR="00E73A9F" w:rsidRDefault="00E73A9F">
            <w:pPr>
              <w:spacing w:after="20"/>
              <w:rPr>
                <w:rFonts w:ascii="Arial" w:hAnsi="Arial"/>
                <w:b/>
                <w:sz w:val="12"/>
                <w:szCs w:val="12"/>
              </w:rPr>
            </w:pPr>
            <w:r>
              <w:rPr>
                <w:rFonts w:ascii="Arial" w:hAnsi="Arial" w:cs="Arial"/>
                <w:sz w:val="18"/>
                <w:szCs w:val="18"/>
              </w:rPr>
              <w:t xml:space="preserve">Department of Land Administration, </w:t>
            </w:r>
            <w:smartTag w:uri="urn:schemas-microsoft-com:office:smarttags" w:element="State">
              <w:smartTag w:uri="urn:schemas-microsoft-com:office:smarttags" w:element="place">
                <w:smartTag w:uri="urn:schemas-microsoft-com:office:smarttags" w:element="PlaceName">
                  <w:smartTag w:uri="urn:schemas-microsoft-com:office:smarttags" w:element="PlaceType">
                    <w:r>
                      <w:rPr>
                        <w:rFonts w:ascii="Arial" w:hAnsi="Arial" w:cs="Arial"/>
                        <w:sz w:val="18"/>
                        <w:szCs w:val="18"/>
                      </w:rPr>
                      <w:t>Western Australia</w:t>
                    </w:r>
                  </w:smartTag>
                </w:smartTag>
              </w:smartTag>
            </w:smartTag>
            <w:r>
              <w:rPr>
                <w:rFonts w:ascii="Arial" w:hAnsi="Arial" w:cs="Arial"/>
                <w:sz w:val="18"/>
                <w:szCs w:val="18"/>
              </w:rPr>
              <w:t>.</w:t>
            </w:r>
          </w:p>
        </w:tc>
      </w:tr>
      <w:tr w:rsidR="000F4537">
        <w:tc>
          <w:tcPr>
            <w:tcW w:w="1276" w:type="dxa"/>
          </w:tcPr>
          <w:p w:rsidR="000F4537" w:rsidRDefault="000F4537">
            <w:pPr>
              <w:spacing w:after="20"/>
              <w:rPr>
                <w:rFonts w:ascii="Arial" w:hAnsi="Arial" w:cs="Arial"/>
                <w:b/>
                <w:sz w:val="18"/>
                <w:szCs w:val="18"/>
              </w:rPr>
            </w:pPr>
            <w:proofErr w:type="spellStart"/>
            <w:r>
              <w:rPr>
                <w:rFonts w:ascii="Arial" w:hAnsi="Arial" w:cs="Arial"/>
                <w:b/>
                <w:sz w:val="18"/>
                <w:szCs w:val="18"/>
              </w:rPr>
              <w:t>DoW</w:t>
            </w:r>
            <w:proofErr w:type="spellEnd"/>
          </w:p>
        </w:tc>
        <w:tc>
          <w:tcPr>
            <w:tcW w:w="8930" w:type="dxa"/>
          </w:tcPr>
          <w:p w:rsidR="000F4537" w:rsidRDefault="000F4537">
            <w:pPr>
              <w:spacing w:after="20"/>
              <w:rPr>
                <w:rFonts w:ascii="Arial" w:hAnsi="Arial" w:cs="Arial"/>
                <w:sz w:val="18"/>
                <w:szCs w:val="18"/>
              </w:rPr>
            </w:pPr>
            <w:r>
              <w:rPr>
                <w:rFonts w:ascii="Arial" w:hAnsi="Arial" w:cs="Arial"/>
                <w:sz w:val="18"/>
                <w:szCs w:val="18"/>
              </w:rPr>
              <w:t>Department of Water</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EP Act</w:t>
            </w:r>
          </w:p>
        </w:tc>
        <w:tc>
          <w:tcPr>
            <w:tcW w:w="8930" w:type="dxa"/>
          </w:tcPr>
          <w:p w:rsidR="00E73A9F" w:rsidRDefault="00E73A9F">
            <w:pPr>
              <w:spacing w:after="20"/>
              <w:rPr>
                <w:rFonts w:ascii="Arial" w:hAnsi="Arial"/>
                <w:b/>
                <w:sz w:val="12"/>
                <w:szCs w:val="12"/>
              </w:rPr>
            </w:pPr>
            <w:r>
              <w:rPr>
                <w:rFonts w:ascii="Arial" w:hAnsi="Arial" w:cs="Arial"/>
                <w:sz w:val="18"/>
                <w:szCs w:val="18"/>
              </w:rPr>
              <w:t xml:space="preserve">Environment Protection Act 1986, </w:t>
            </w:r>
            <w:smartTag w:uri="urn:schemas-microsoft-com:office:smarttags" w:element="State">
              <w:smartTag w:uri="urn:schemas-microsoft-com:office:smarttags" w:element="place">
                <w:smartTag w:uri="urn:schemas-microsoft-com:office:smarttags" w:element="PlaceName">
                  <w:smartTag w:uri="urn:schemas-microsoft-com:office:smarttags" w:element="PlaceType">
                    <w:r>
                      <w:rPr>
                        <w:rFonts w:ascii="Arial" w:hAnsi="Arial" w:cs="Arial"/>
                        <w:sz w:val="18"/>
                        <w:szCs w:val="18"/>
                      </w:rPr>
                      <w:t>Western Australia</w:t>
                    </w:r>
                  </w:smartTag>
                </w:smartTag>
              </w:smartTag>
            </w:smartTag>
            <w:r>
              <w:rPr>
                <w:rFonts w:ascii="Arial" w:hAnsi="Arial" w:cs="Arial"/>
                <w:sz w:val="18"/>
                <w:szCs w:val="18"/>
              </w:rPr>
              <w:t>.</w:t>
            </w:r>
          </w:p>
        </w:tc>
      </w:tr>
      <w:tr w:rsidR="00E73A9F">
        <w:tc>
          <w:tcPr>
            <w:tcW w:w="1276" w:type="dxa"/>
          </w:tcPr>
          <w:p w:rsidR="00E73A9F" w:rsidRDefault="00E73A9F">
            <w:pPr>
              <w:spacing w:after="20"/>
              <w:rPr>
                <w:rFonts w:ascii="Arial" w:hAnsi="Arial" w:cs="Arial"/>
                <w:b/>
                <w:sz w:val="18"/>
                <w:szCs w:val="18"/>
              </w:rPr>
            </w:pPr>
            <w:r>
              <w:rPr>
                <w:rFonts w:ascii="Arial" w:hAnsi="Arial" w:cs="Arial"/>
                <w:b/>
                <w:sz w:val="18"/>
                <w:szCs w:val="18"/>
              </w:rPr>
              <w:t>EPBC Act</w:t>
            </w:r>
          </w:p>
        </w:tc>
        <w:tc>
          <w:tcPr>
            <w:tcW w:w="8930" w:type="dxa"/>
          </w:tcPr>
          <w:p w:rsidR="00E73A9F" w:rsidRDefault="00E73A9F">
            <w:pPr>
              <w:spacing w:after="20"/>
              <w:rPr>
                <w:rFonts w:ascii="Arial" w:hAnsi="Arial" w:cs="Arial"/>
                <w:sz w:val="18"/>
                <w:szCs w:val="18"/>
              </w:rPr>
            </w:pPr>
            <w:r>
              <w:rPr>
                <w:rFonts w:ascii="Arial" w:hAnsi="Arial" w:cs="Arial"/>
                <w:sz w:val="18"/>
                <w:szCs w:val="18"/>
              </w:rPr>
              <w:t>Environment Protection and Biodiversity Conservation Act 1999 (Federal Act)</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GIS</w:t>
            </w:r>
          </w:p>
        </w:tc>
        <w:tc>
          <w:tcPr>
            <w:tcW w:w="8930" w:type="dxa"/>
          </w:tcPr>
          <w:p w:rsidR="00E73A9F" w:rsidRDefault="00E73A9F">
            <w:pPr>
              <w:spacing w:after="20"/>
              <w:rPr>
                <w:rFonts w:ascii="Arial" w:hAnsi="Arial"/>
                <w:b/>
                <w:sz w:val="12"/>
                <w:szCs w:val="12"/>
              </w:rPr>
            </w:pPr>
            <w:r>
              <w:rPr>
                <w:rFonts w:ascii="Arial" w:hAnsi="Arial" w:cs="Arial"/>
                <w:sz w:val="18"/>
                <w:szCs w:val="18"/>
              </w:rPr>
              <w:t>Geographical Information System.</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IBRA</w:t>
            </w:r>
          </w:p>
        </w:tc>
        <w:tc>
          <w:tcPr>
            <w:tcW w:w="8930" w:type="dxa"/>
          </w:tcPr>
          <w:p w:rsidR="00E73A9F" w:rsidRDefault="00E73A9F">
            <w:pPr>
              <w:spacing w:after="20"/>
              <w:rPr>
                <w:rFonts w:ascii="Arial" w:hAnsi="Arial"/>
                <w:b/>
                <w:sz w:val="12"/>
                <w:szCs w:val="12"/>
              </w:rPr>
            </w:pPr>
            <w:r>
              <w:rPr>
                <w:rFonts w:ascii="Arial" w:hAnsi="Arial" w:cs="Arial"/>
                <w:sz w:val="18"/>
                <w:szCs w:val="18"/>
              </w:rPr>
              <w:t xml:space="preserve">Interim </w:t>
            </w:r>
            <w:proofErr w:type="spellStart"/>
            <w:r>
              <w:rPr>
                <w:rFonts w:ascii="Arial" w:hAnsi="Arial" w:cs="Arial"/>
                <w:sz w:val="18"/>
                <w:szCs w:val="18"/>
              </w:rPr>
              <w:t>Biogeographic</w:t>
            </w:r>
            <w:proofErr w:type="spellEnd"/>
            <w:r>
              <w:rPr>
                <w:rFonts w:ascii="Arial" w:hAnsi="Arial" w:cs="Arial"/>
                <w:sz w:val="18"/>
                <w:szCs w:val="18"/>
              </w:rPr>
              <w:t xml:space="preserve"> Regionalisation for </w:t>
            </w:r>
            <w:smartTag w:uri="urn:schemas-microsoft-com:office:smarttags" w:element="place">
              <w:smartTag w:uri="urn:schemas-microsoft-com:office:smarttags" w:element="country-region">
                <w:smartTag w:uri="urn:schemas-microsoft-com:office:smarttags" w:element="PlaceType">
                  <w:r>
                    <w:rPr>
                      <w:rFonts w:ascii="Arial" w:hAnsi="Arial" w:cs="Arial"/>
                      <w:sz w:val="18"/>
                      <w:szCs w:val="18"/>
                    </w:rPr>
                    <w:t>Australia</w:t>
                  </w:r>
                </w:smartTag>
              </w:smartTag>
            </w:smartTag>
            <w:r>
              <w:rPr>
                <w:rFonts w:ascii="Arial" w:hAnsi="Arial" w:cs="Arial"/>
                <w:sz w:val="18"/>
                <w:szCs w:val="18"/>
              </w:rPr>
              <w:t>.</w:t>
            </w:r>
          </w:p>
        </w:tc>
      </w:tr>
      <w:tr w:rsidR="00E73A9F">
        <w:tc>
          <w:tcPr>
            <w:tcW w:w="1276" w:type="dxa"/>
          </w:tcPr>
          <w:p w:rsidR="00E73A9F" w:rsidRDefault="00E73A9F">
            <w:pPr>
              <w:spacing w:after="20"/>
              <w:rPr>
                <w:rFonts w:ascii="Arial" w:hAnsi="Arial" w:cs="Arial"/>
                <w:b/>
                <w:sz w:val="18"/>
                <w:szCs w:val="18"/>
              </w:rPr>
            </w:pPr>
            <w:r>
              <w:rPr>
                <w:rFonts w:ascii="Arial" w:hAnsi="Arial" w:cs="Arial"/>
                <w:b/>
                <w:sz w:val="18"/>
                <w:szCs w:val="18"/>
              </w:rPr>
              <w:t>IUCN</w:t>
            </w:r>
          </w:p>
        </w:tc>
        <w:tc>
          <w:tcPr>
            <w:tcW w:w="8930" w:type="dxa"/>
          </w:tcPr>
          <w:p w:rsidR="00E73A9F" w:rsidRDefault="00E73A9F">
            <w:pPr>
              <w:spacing w:after="20"/>
              <w:rPr>
                <w:rFonts w:ascii="Arial" w:hAnsi="Arial" w:cs="Arial"/>
                <w:sz w:val="18"/>
                <w:szCs w:val="18"/>
              </w:rPr>
            </w:pPr>
            <w:r>
              <w:rPr>
                <w:rFonts w:ascii="Arial" w:hAnsi="Arial" w:cs="Arial"/>
                <w:sz w:val="18"/>
                <w:szCs w:val="18"/>
              </w:rPr>
              <w:t>International Union for the Conservation of Nature and Natural Resources – commonly known as the World Conservation Union</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RIWI</w:t>
            </w:r>
          </w:p>
        </w:tc>
        <w:tc>
          <w:tcPr>
            <w:tcW w:w="8930" w:type="dxa"/>
          </w:tcPr>
          <w:p w:rsidR="00E73A9F" w:rsidRDefault="00E73A9F">
            <w:pPr>
              <w:spacing w:after="20"/>
              <w:rPr>
                <w:rFonts w:ascii="Arial" w:hAnsi="Arial"/>
                <w:b/>
                <w:sz w:val="12"/>
                <w:szCs w:val="12"/>
              </w:rPr>
            </w:pPr>
            <w:r>
              <w:rPr>
                <w:rFonts w:ascii="Arial" w:hAnsi="Arial" w:cs="Arial"/>
                <w:sz w:val="18"/>
                <w:szCs w:val="18"/>
              </w:rPr>
              <w:t xml:space="preserve">Rights in Water and Irrigation Act 1914, </w:t>
            </w:r>
            <w:smartTag w:uri="urn:schemas-microsoft-com:office:smarttags" w:element="State">
              <w:smartTag w:uri="urn:schemas-microsoft-com:office:smarttags" w:element="place">
                <w:smartTag w:uri="urn:schemas-microsoft-com:office:smarttags" w:element="PlaceName">
                  <w:smartTag w:uri="urn:schemas-microsoft-com:office:smarttags" w:element="PlaceType">
                    <w:r>
                      <w:rPr>
                        <w:rFonts w:ascii="Arial" w:hAnsi="Arial" w:cs="Arial"/>
                        <w:sz w:val="18"/>
                        <w:szCs w:val="18"/>
                      </w:rPr>
                      <w:t>Western Australia</w:t>
                    </w:r>
                  </w:smartTag>
                </w:smartTag>
              </w:smartTag>
            </w:smartTag>
            <w:r>
              <w:rPr>
                <w:rFonts w:ascii="Arial" w:hAnsi="Arial" w:cs="Arial"/>
                <w:sz w:val="18"/>
                <w:szCs w:val="18"/>
              </w:rPr>
              <w:t>.</w:t>
            </w:r>
          </w:p>
        </w:tc>
      </w:tr>
      <w:tr w:rsidR="00E73A9F">
        <w:tc>
          <w:tcPr>
            <w:tcW w:w="1276" w:type="dxa"/>
          </w:tcPr>
          <w:p w:rsidR="00E73A9F" w:rsidRDefault="00E73A9F">
            <w:pPr>
              <w:spacing w:after="20"/>
              <w:rPr>
                <w:rFonts w:ascii="Arial" w:hAnsi="Arial" w:cs="Arial"/>
                <w:b/>
                <w:sz w:val="18"/>
                <w:szCs w:val="18"/>
              </w:rPr>
            </w:pPr>
            <w:r>
              <w:rPr>
                <w:rFonts w:ascii="Arial" w:hAnsi="Arial" w:cs="Arial"/>
                <w:b/>
                <w:sz w:val="18"/>
                <w:szCs w:val="18"/>
              </w:rPr>
              <w:t>s.17</w:t>
            </w:r>
          </w:p>
        </w:tc>
        <w:tc>
          <w:tcPr>
            <w:tcW w:w="8930" w:type="dxa"/>
          </w:tcPr>
          <w:p w:rsidR="00E73A9F" w:rsidRDefault="00E73A9F">
            <w:pPr>
              <w:spacing w:after="20"/>
              <w:rPr>
                <w:rFonts w:ascii="Arial" w:hAnsi="Arial" w:cs="Arial"/>
                <w:sz w:val="18"/>
                <w:szCs w:val="18"/>
              </w:rPr>
            </w:pPr>
            <w:r>
              <w:rPr>
                <w:rFonts w:ascii="Arial" w:hAnsi="Arial" w:cs="Arial"/>
                <w:sz w:val="18"/>
                <w:szCs w:val="18"/>
              </w:rPr>
              <w:t xml:space="preserve">Section 17 of the Environment Protection Act 1986, </w:t>
            </w:r>
            <w:smartTag w:uri="urn:schemas-microsoft-com:office:smarttags" w:element="place">
              <w:smartTag w:uri="urn:schemas-microsoft-com:office:smarttags" w:element="State">
                <w:r>
                  <w:rPr>
                    <w:rFonts w:ascii="Arial" w:hAnsi="Arial" w:cs="Arial"/>
                    <w:sz w:val="18"/>
                    <w:szCs w:val="18"/>
                  </w:rPr>
                  <w:t>Western Australia</w:t>
                </w:r>
              </w:smartTag>
            </w:smartTag>
            <w:r>
              <w:rPr>
                <w:rFonts w:ascii="Arial" w:hAnsi="Arial" w:cs="Arial"/>
                <w:sz w:val="18"/>
                <w:szCs w:val="18"/>
              </w:rPr>
              <w:t>.</w:t>
            </w:r>
          </w:p>
        </w:tc>
      </w:tr>
      <w:tr w:rsidR="00E73A9F">
        <w:tc>
          <w:tcPr>
            <w:tcW w:w="1276" w:type="dxa"/>
          </w:tcPr>
          <w:p w:rsidR="00E73A9F" w:rsidRDefault="00E73A9F">
            <w:pPr>
              <w:spacing w:after="20"/>
              <w:rPr>
                <w:rFonts w:ascii="Arial" w:hAnsi="Arial"/>
                <w:b/>
                <w:sz w:val="12"/>
                <w:szCs w:val="12"/>
              </w:rPr>
            </w:pPr>
            <w:r>
              <w:rPr>
                <w:rFonts w:ascii="Arial" w:hAnsi="Arial" w:cs="Arial"/>
                <w:b/>
                <w:sz w:val="18"/>
                <w:szCs w:val="18"/>
              </w:rPr>
              <w:t>TECs</w:t>
            </w:r>
          </w:p>
        </w:tc>
        <w:tc>
          <w:tcPr>
            <w:tcW w:w="8930" w:type="dxa"/>
          </w:tcPr>
          <w:p w:rsidR="00E73A9F" w:rsidRDefault="00E73A9F">
            <w:pPr>
              <w:spacing w:after="20"/>
              <w:rPr>
                <w:rFonts w:ascii="Arial" w:hAnsi="Arial"/>
                <w:b/>
                <w:sz w:val="12"/>
                <w:szCs w:val="12"/>
              </w:rPr>
            </w:pPr>
            <w:r>
              <w:rPr>
                <w:rFonts w:ascii="Arial" w:hAnsi="Arial" w:cs="Arial"/>
                <w:sz w:val="18"/>
                <w:szCs w:val="18"/>
              </w:rPr>
              <w:t>Threatened Ecological Communities.</w:t>
            </w:r>
          </w:p>
        </w:tc>
      </w:tr>
    </w:tbl>
    <w:p w:rsidR="00E73A9F" w:rsidRDefault="00E73A9F" w:rsidP="00E73A9F">
      <w:pPr>
        <w:tabs>
          <w:tab w:val="left" w:pos="850"/>
        </w:tabs>
        <w:rPr>
          <w:rFonts w:ascii="Arial" w:hAnsi="Arial" w:cs="Arial"/>
          <w:sz w:val="8"/>
          <w:szCs w:val="8"/>
        </w:rPr>
      </w:pPr>
    </w:p>
    <w:p w:rsidR="00E73A9F" w:rsidRDefault="00E73A9F" w:rsidP="00E73A9F">
      <w:pPr>
        <w:pStyle w:val="Footer"/>
        <w:tabs>
          <w:tab w:val="left" w:pos="850"/>
        </w:tabs>
        <w:ind w:left="851" w:hanging="709"/>
        <w:rPr>
          <w:rFonts w:ascii="Arial" w:hAnsi="Arial" w:cs="Arial"/>
          <w:b/>
          <w:sz w:val="20"/>
        </w:rPr>
      </w:pPr>
      <w:r>
        <w:rPr>
          <w:rFonts w:ascii="Arial" w:hAnsi="Arial" w:cs="Arial"/>
          <w:b/>
          <w:sz w:val="20"/>
        </w:rPr>
        <w:t xml:space="preserve">  </w:t>
      </w:r>
    </w:p>
    <w:p w:rsidR="00E73A9F" w:rsidRDefault="00E73A9F" w:rsidP="00E73A9F">
      <w:pPr>
        <w:pStyle w:val="Footer"/>
        <w:tabs>
          <w:tab w:val="left" w:pos="850"/>
        </w:tabs>
        <w:ind w:left="851" w:hanging="709"/>
        <w:rPr>
          <w:rFonts w:ascii="Arial" w:hAnsi="Arial" w:cs="Arial"/>
          <w:b/>
          <w:sz w:val="20"/>
          <w:u w:val="single"/>
        </w:rPr>
      </w:pPr>
      <w:r>
        <w:rPr>
          <w:rFonts w:ascii="Arial" w:hAnsi="Arial" w:cs="Arial"/>
          <w:b/>
          <w:sz w:val="20"/>
          <w:u w:val="single"/>
        </w:rPr>
        <w:t>Definitions:</w:t>
      </w:r>
    </w:p>
    <w:p w:rsidR="00E73A9F" w:rsidRDefault="00E73A9F" w:rsidP="00E73A9F">
      <w:pPr>
        <w:tabs>
          <w:tab w:val="left" w:pos="1276"/>
          <w:tab w:val="left" w:pos="1418"/>
          <w:tab w:val="left" w:pos="3119"/>
        </w:tabs>
        <w:ind w:left="1418" w:hanging="1276"/>
        <w:jc w:val="both"/>
        <w:rPr>
          <w:rFonts w:ascii="Arial" w:hAnsi="Arial" w:cs="Arial"/>
          <w:b/>
          <w:sz w:val="12"/>
          <w:szCs w:val="12"/>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75"/>
        <w:gridCol w:w="8895"/>
      </w:tblGrid>
      <w:tr w:rsidR="00E73A9F">
        <w:tc>
          <w:tcPr>
            <w:tcW w:w="10184" w:type="dxa"/>
            <w:gridSpan w:val="2"/>
          </w:tcPr>
          <w:p w:rsidR="00E73A9F" w:rsidRDefault="00E73A9F">
            <w:pPr>
              <w:tabs>
                <w:tab w:val="left" w:pos="142"/>
              </w:tabs>
              <w:rPr>
                <w:rFonts w:ascii="Arial" w:hAnsi="Arial" w:cs="Arial"/>
                <w:sz w:val="18"/>
                <w:szCs w:val="18"/>
              </w:rPr>
            </w:pPr>
            <w:r>
              <w:rPr>
                <w:rFonts w:ascii="Arial" w:hAnsi="Arial" w:cs="Arial"/>
                <w:b/>
                <w:sz w:val="16"/>
                <w:szCs w:val="16"/>
              </w:rPr>
              <w:t xml:space="preserve">{Atkins, K (2005). </w:t>
            </w:r>
            <w:r>
              <w:rPr>
                <w:rFonts w:ascii="Arial" w:hAnsi="Arial" w:cs="Arial"/>
                <w:b/>
                <w:i/>
                <w:iCs/>
                <w:sz w:val="16"/>
                <w:szCs w:val="16"/>
              </w:rPr>
              <w:t xml:space="preserve">Declared rare and priority flora list for </w:t>
            </w:r>
            <w:smartTag w:uri="urn:schemas-microsoft-com:office:smarttags" w:element="State">
              <w:smartTag w:uri="urn:schemas-microsoft-com:office:smarttags" w:element="place">
                <w:smartTag w:uri="urn:schemas-microsoft-com:office:smarttags" w:element="PlaceType">
                  <w:smartTag w:uri="urn:schemas-microsoft-com:office:smarttags" w:element="PlaceName">
                    <w:r>
                      <w:rPr>
                        <w:rFonts w:ascii="Arial" w:hAnsi="Arial" w:cs="Arial"/>
                        <w:b/>
                        <w:i/>
                        <w:iCs/>
                        <w:sz w:val="16"/>
                        <w:szCs w:val="16"/>
                      </w:rPr>
                      <w:t>Western Australia</w:t>
                    </w:r>
                  </w:smartTag>
                </w:smartTag>
              </w:smartTag>
            </w:smartTag>
            <w:r>
              <w:rPr>
                <w:rFonts w:ascii="Arial" w:hAnsi="Arial" w:cs="Arial"/>
                <w:b/>
                <w:i/>
                <w:iCs/>
                <w:sz w:val="16"/>
                <w:szCs w:val="16"/>
              </w:rPr>
              <w:t>, 22 February 2005</w:t>
            </w:r>
            <w:r>
              <w:rPr>
                <w:rFonts w:ascii="Arial" w:hAnsi="Arial" w:cs="Arial"/>
                <w:b/>
                <w:sz w:val="16"/>
                <w:szCs w:val="16"/>
              </w:rPr>
              <w:t xml:space="preserve">. Department of Conservation and Land Management, </w:t>
            </w:r>
            <w:smartTag w:uri="urn:schemas-microsoft-com:office:smarttags" w:element="place">
              <w:smartTag w:uri="urn:schemas-microsoft-com:office:smarttags" w:element="PlaceType">
                <w:smartTag w:uri="urn:schemas-microsoft-com:office:smarttags" w:element="City">
                  <w:r>
                    <w:rPr>
                      <w:rFonts w:ascii="Arial" w:hAnsi="Arial" w:cs="Arial"/>
                      <w:b/>
                      <w:sz w:val="16"/>
                      <w:szCs w:val="16"/>
                    </w:rPr>
                    <w:t>Como</w:t>
                  </w:r>
                </w:smartTag>
                <w:r>
                  <w:rPr>
                    <w:rFonts w:ascii="Arial" w:hAnsi="Arial" w:cs="Arial"/>
                    <w:b/>
                    <w:sz w:val="16"/>
                    <w:szCs w:val="16"/>
                  </w:rPr>
                  <w:t xml:space="preserve">, </w:t>
                </w:r>
                <w:smartTag w:uri="urn:schemas-microsoft-com:office:smarttags" w:element="State">
                  <w:smartTag w:uri="urn:schemas-microsoft-com:office:smarttags" w:element="PlaceName">
                    <w:r>
                      <w:rPr>
                        <w:rFonts w:ascii="Arial" w:hAnsi="Arial" w:cs="Arial"/>
                        <w:b/>
                        <w:sz w:val="16"/>
                        <w:szCs w:val="16"/>
                      </w:rPr>
                      <w:t>Western Australia</w:t>
                    </w:r>
                  </w:smartTag>
                </w:smartTag>
              </w:smartTag>
            </w:smartTag>
            <w:r>
              <w:rPr>
                <w:rFonts w:ascii="Arial" w:hAnsi="Arial" w:cs="Arial"/>
                <w:b/>
                <w:sz w:val="16"/>
                <w:szCs w:val="16"/>
              </w:rPr>
              <w:t>} :-</w:t>
            </w:r>
          </w:p>
          <w:p w:rsidR="00E73A9F" w:rsidRDefault="00E73A9F">
            <w:pPr>
              <w:tabs>
                <w:tab w:val="left" w:pos="1276"/>
                <w:tab w:val="left" w:pos="1418"/>
                <w:tab w:val="left" w:pos="3119"/>
              </w:tabs>
              <w:jc w:val="both"/>
              <w:rPr>
                <w:rStyle w:val="Strong"/>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Fonts w:ascii="Arial" w:hAnsi="Arial" w:cs="Arial"/>
                <w:b/>
                <w:sz w:val="18"/>
                <w:szCs w:val="18"/>
              </w:rPr>
              <w:t>P1</w:t>
            </w:r>
          </w:p>
        </w:tc>
        <w:tc>
          <w:tcPr>
            <w:tcW w:w="8908" w:type="dxa"/>
          </w:tcPr>
          <w:p w:rsidR="00E73A9F" w:rsidRDefault="00E73A9F">
            <w:pPr>
              <w:tabs>
                <w:tab w:val="left" w:pos="1276"/>
                <w:tab w:val="left" w:pos="1418"/>
                <w:tab w:val="left" w:pos="3119"/>
              </w:tabs>
              <w:jc w:val="both"/>
              <w:rPr>
                <w:rFonts w:ascii="Arial" w:hAnsi="Arial" w:cs="Arial"/>
                <w:sz w:val="18"/>
                <w:szCs w:val="18"/>
              </w:rPr>
            </w:pPr>
            <w:r>
              <w:rPr>
                <w:rStyle w:val="Strong"/>
                <w:rFonts w:ascii="Arial" w:hAnsi="Arial" w:cs="Arial"/>
                <w:sz w:val="18"/>
                <w:szCs w:val="18"/>
              </w:rPr>
              <w:t xml:space="preserve">Priority One - Poorly Known </w:t>
            </w:r>
            <w:proofErr w:type="spellStart"/>
            <w:r>
              <w:rPr>
                <w:rStyle w:val="Strong"/>
                <w:rFonts w:ascii="Arial" w:hAnsi="Arial" w:cs="Arial"/>
                <w:sz w:val="18"/>
                <w:szCs w:val="18"/>
              </w:rPr>
              <w:t>taxa</w:t>
            </w:r>
            <w:proofErr w:type="spellEnd"/>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are known from one or a few (generally &lt;5) populations which are under threat, either due to small population size, or being on lands under immediate threat, e.g. road verges, urban areas, farmland, active mineral leases, etc., or the plants are under threat, e.g. from disease, grazing by feral animals, etc. May include </w:t>
            </w:r>
            <w:proofErr w:type="spellStart"/>
            <w:r>
              <w:rPr>
                <w:rFonts w:ascii="Arial" w:hAnsi="Arial" w:cs="Arial"/>
                <w:sz w:val="18"/>
                <w:szCs w:val="18"/>
              </w:rPr>
              <w:t>taxa</w:t>
            </w:r>
            <w:proofErr w:type="spellEnd"/>
            <w:r>
              <w:rPr>
                <w:rFonts w:ascii="Arial" w:hAnsi="Arial" w:cs="Arial"/>
                <w:sz w:val="18"/>
                <w:szCs w:val="18"/>
              </w:rPr>
              <w:t xml:space="preserve"> with threatened populations on protected lands. Such </w:t>
            </w:r>
            <w:proofErr w:type="spellStart"/>
            <w:r>
              <w:rPr>
                <w:rFonts w:ascii="Arial" w:hAnsi="Arial" w:cs="Arial"/>
                <w:sz w:val="18"/>
                <w:szCs w:val="18"/>
              </w:rPr>
              <w:t>taxa</w:t>
            </w:r>
            <w:proofErr w:type="spellEnd"/>
            <w:r>
              <w:rPr>
                <w:rFonts w:ascii="Arial" w:hAnsi="Arial" w:cs="Arial"/>
                <w:sz w:val="18"/>
                <w:szCs w:val="18"/>
              </w:rPr>
              <w:t xml:space="preserve"> are under consideration for declaration as ‘rare flora’, but are in urgent need of further survey.</w:t>
            </w:r>
          </w:p>
          <w:p w:rsidR="00E73A9F" w:rsidRDefault="00E73A9F">
            <w:pPr>
              <w:tabs>
                <w:tab w:val="left" w:pos="1276"/>
                <w:tab w:val="left" w:pos="1418"/>
                <w:tab w:val="left" w:pos="3119"/>
              </w:tabs>
              <w:jc w:val="both"/>
              <w:rPr>
                <w:rFonts w:ascii="Arial" w:hAnsi="Arial" w:cs="Arial"/>
                <w:b/>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Fonts w:ascii="Arial" w:hAnsi="Arial" w:cs="Arial"/>
                <w:b/>
                <w:sz w:val="18"/>
                <w:szCs w:val="18"/>
              </w:rPr>
              <w:t>P2</w:t>
            </w:r>
          </w:p>
        </w:tc>
        <w:tc>
          <w:tcPr>
            <w:tcW w:w="8908" w:type="dxa"/>
          </w:tcPr>
          <w:p w:rsidR="00E73A9F" w:rsidRDefault="00E73A9F">
            <w:pPr>
              <w:tabs>
                <w:tab w:val="left" w:pos="993"/>
                <w:tab w:val="left" w:pos="1418"/>
                <w:tab w:val="left" w:pos="3119"/>
              </w:tabs>
              <w:jc w:val="both"/>
              <w:rPr>
                <w:rFonts w:ascii="Arial" w:hAnsi="Arial" w:cs="Arial"/>
                <w:sz w:val="18"/>
                <w:szCs w:val="18"/>
              </w:rPr>
            </w:pPr>
            <w:r>
              <w:rPr>
                <w:rStyle w:val="Strong"/>
                <w:rFonts w:ascii="Arial" w:hAnsi="Arial" w:cs="Arial"/>
                <w:sz w:val="18"/>
                <w:szCs w:val="18"/>
              </w:rPr>
              <w:t xml:space="preserve">Priority Two - Poorly Known </w:t>
            </w:r>
            <w:proofErr w:type="spellStart"/>
            <w:r>
              <w:rPr>
                <w:rStyle w:val="Strong"/>
                <w:rFonts w:ascii="Arial" w:hAnsi="Arial" w:cs="Arial"/>
                <w:sz w:val="18"/>
                <w:szCs w:val="18"/>
              </w:rPr>
              <w:t>taxa</w:t>
            </w:r>
            <w:proofErr w:type="spellEnd"/>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are known from one or a few (generally &lt;5) populations, at least some of which are not believed to be under immediate threat (i.e. not currently endangered). Such </w:t>
            </w:r>
            <w:proofErr w:type="spellStart"/>
            <w:r>
              <w:rPr>
                <w:rFonts w:ascii="Arial" w:hAnsi="Arial" w:cs="Arial"/>
                <w:sz w:val="18"/>
                <w:szCs w:val="18"/>
              </w:rPr>
              <w:t>taxa</w:t>
            </w:r>
            <w:proofErr w:type="spellEnd"/>
            <w:r>
              <w:rPr>
                <w:rFonts w:ascii="Arial" w:hAnsi="Arial" w:cs="Arial"/>
                <w:sz w:val="18"/>
                <w:szCs w:val="18"/>
              </w:rPr>
              <w:t xml:space="preserve"> are under consideration for declaration as ‘rare flora’, but are in urgent need of further survey.</w:t>
            </w:r>
          </w:p>
          <w:p w:rsidR="00E73A9F" w:rsidRDefault="00E73A9F">
            <w:pPr>
              <w:tabs>
                <w:tab w:val="left" w:pos="1276"/>
                <w:tab w:val="left" w:pos="1418"/>
                <w:tab w:val="left" w:pos="3119"/>
              </w:tabs>
              <w:jc w:val="both"/>
              <w:rPr>
                <w:rFonts w:ascii="Arial" w:hAnsi="Arial" w:cs="Arial"/>
                <w:b/>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Fonts w:ascii="Arial" w:hAnsi="Arial" w:cs="Arial"/>
                <w:b/>
                <w:sz w:val="18"/>
                <w:szCs w:val="18"/>
              </w:rPr>
              <w:t>P3</w:t>
            </w:r>
          </w:p>
        </w:tc>
        <w:tc>
          <w:tcPr>
            <w:tcW w:w="8908" w:type="dxa"/>
          </w:tcPr>
          <w:p w:rsidR="00E73A9F" w:rsidRDefault="00E73A9F">
            <w:pPr>
              <w:tabs>
                <w:tab w:val="left" w:pos="993"/>
                <w:tab w:val="left" w:pos="1418"/>
                <w:tab w:val="left" w:pos="3119"/>
              </w:tabs>
              <w:jc w:val="both"/>
              <w:rPr>
                <w:rFonts w:ascii="Arial" w:hAnsi="Arial" w:cs="Arial"/>
                <w:sz w:val="18"/>
                <w:szCs w:val="18"/>
              </w:rPr>
            </w:pPr>
            <w:r>
              <w:rPr>
                <w:rStyle w:val="Strong"/>
                <w:rFonts w:ascii="Arial" w:hAnsi="Arial" w:cs="Arial"/>
                <w:sz w:val="18"/>
                <w:szCs w:val="18"/>
              </w:rPr>
              <w:t xml:space="preserve">Priority Three - Poorly Known </w:t>
            </w:r>
            <w:proofErr w:type="spellStart"/>
            <w:r>
              <w:rPr>
                <w:rStyle w:val="Strong"/>
                <w:rFonts w:ascii="Arial" w:hAnsi="Arial" w:cs="Arial"/>
                <w:sz w:val="18"/>
                <w:szCs w:val="18"/>
              </w:rPr>
              <w:t>taxa</w:t>
            </w:r>
            <w:proofErr w:type="spellEnd"/>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are known from several populations, at least some of which are not believed to be under immediate threat (i.e. not currently endangered). Such </w:t>
            </w:r>
            <w:proofErr w:type="spellStart"/>
            <w:r>
              <w:rPr>
                <w:rFonts w:ascii="Arial" w:hAnsi="Arial" w:cs="Arial"/>
                <w:sz w:val="18"/>
                <w:szCs w:val="18"/>
              </w:rPr>
              <w:t>taxa</w:t>
            </w:r>
            <w:proofErr w:type="spellEnd"/>
            <w:r>
              <w:rPr>
                <w:rFonts w:ascii="Arial" w:hAnsi="Arial" w:cs="Arial"/>
                <w:sz w:val="18"/>
                <w:szCs w:val="18"/>
              </w:rPr>
              <w:t xml:space="preserve"> are under consideration for declaration as ‘rare flora’, but are in need of further survey.</w:t>
            </w:r>
          </w:p>
          <w:p w:rsidR="00E73A9F" w:rsidRDefault="00E73A9F">
            <w:pPr>
              <w:tabs>
                <w:tab w:val="left" w:pos="1276"/>
                <w:tab w:val="left" w:pos="1418"/>
                <w:tab w:val="left" w:pos="3119"/>
              </w:tabs>
              <w:jc w:val="both"/>
              <w:rPr>
                <w:rFonts w:ascii="Arial" w:hAnsi="Arial" w:cs="Arial"/>
                <w:b/>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Fonts w:ascii="Arial" w:hAnsi="Arial" w:cs="Arial"/>
                <w:b/>
                <w:sz w:val="18"/>
                <w:szCs w:val="18"/>
              </w:rPr>
              <w:t>P4</w:t>
            </w:r>
          </w:p>
        </w:tc>
        <w:tc>
          <w:tcPr>
            <w:tcW w:w="8908" w:type="dxa"/>
          </w:tcPr>
          <w:p w:rsidR="00E73A9F" w:rsidRDefault="00E73A9F">
            <w:pPr>
              <w:tabs>
                <w:tab w:val="left" w:pos="1276"/>
                <w:tab w:val="left" w:pos="1418"/>
                <w:tab w:val="left" w:pos="3119"/>
              </w:tabs>
              <w:jc w:val="both"/>
              <w:rPr>
                <w:rFonts w:ascii="Arial" w:hAnsi="Arial" w:cs="Arial"/>
                <w:sz w:val="18"/>
                <w:szCs w:val="18"/>
              </w:rPr>
            </w:pPr>
            <w:r>
              <w:rPr>
                <w:rStyle w:val="Strong"/>
                <w:rFonts w:ascii="Arial" w:hAnsi="Arial" w:cs="Arial"/>
                <w:sz w:val="18"/>
                <w:szCs w:val="18"/>
              </w:rPr>
              <w:t xml:space="preserve">Priority Four – Rare </w:t>
            </w:r>
            <w:proofErr w:type="spellStart"/>
            <w:r>
              <w:rPr>
                <w:rStyle w:val="Strong"/>
                <w:rFonts w:ascii="Arial" w:hAnsi="Arial" w:cs="Arial"/>
                <w:sz w:val="18"/>
                <w:szCs w:val="18"/>
              </w:rPr>
              <w:t>taxa</w:t>
            </w:r>
            <w:proofErr w:type="spellEnd"/>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are considered to have been adequately surveyed and which, whilst being rare (in </w:t>
            </w:r>
            <w:smartTag w:uri="urn:schemas-microsoft-com:office:smarttags" w:element="place">
              <w:smartTag w:uri="urn:schemas-microsoft-com:office:smarttags" w:element="PlaceType">
                <w:smartTag w:uri="urn:schemas-microsoft-com:office:smarttags" w:element="country-region">
                  <w:r>
                    <w:rPr>
                      <w:rFonts w:ascii="Arial" w:hAnsi="Arial" w:cs="Arial"/>
                      <w:sz w:val="18"/>
                      <w:szCs w:val="18"/>
                    </w:rPr>
                    <w:t>Australia</w:t>
                  </w:r>
                </w:smartTag>
              </w:smartTag>
            </w:smartTag>
            <w:r>
              <w:rPr>
                <w:rFonts w:ascii="Arial" w:hAnsi="Arial" w:cs="Arial"/>
                <w:sz w:val="18"/>
                <w:szCs w:val="18"/>
              </w:rPr>
              <w:t xml:space="preserve">), are not currently threatened by any identifiable factors. These </w:t>
            </w:r>
            <w:proofErr w:type="spellStart"/>
            <w:r>
              <w:rPr>
                <w:rFonts w:ascii="Arial" w:hAnsi="Arial" w:cs="Arial"/>
                <w:sz w:val="18"/>
                <w:szCs w:val="18"/>
              </w:rPr>
              <w:t>taxa</w:t>
            </w:r>
            <w:proofErr w:type="spellEnd"/>
            <w:r>
              <w:rPr>
                <w:rFonts w:ascii="Arial" w:hAnsi="Arial" w:cs="Arial"/>
                <w:sz w:val="18"/>
                <w:szCs w:val="18"/>
              </w:rPr>
              <w:t xml:space="preserve"> require monitoring every 5–10 years.</w:t>
            </w:r>
          </w:p>
          <w:p w:rsidR="00E73A9F" w:rsidRDefault="00E73A9F">
            <w:pPr>
              <w:tabs>
                <w:tab w:val="left" w:pos="1276"/>
                <w:tab w:val="left" w:pos="1418"/>
                <w:tab w:val="left" w:pos="3119"/>
              </w:tabs>
              <w:jc w:val="both"/>
              <w:rPr>
                <w:rFonts w:ascii="Arial" w:hAnsi="Arial" w:cs="Arial"/>
                <w:b/>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Style w:val="Strong"/>
                <w:rFonts w:ascii="Arial" w:hAnsi="Arial" w:cs="Arial"/>
                <w:sz w:val="18"/>
                <w:szCs w:val="18"/>
              </w:rPr>
              <w:t>R</w:t>
            </w:r>
          </w:p>
        </w:tc>
        <w:tc>
          <w:tcPr>
            <w:tcW w:w="8908" w:type="dxa"/>
          </w:tcPr>
          <w:p w:rsidR="00E73A9F" w:rsidRDefault="00E73A9F">
            <w:pPr>
              <w:tabs>
                <w:tab w:val="left" w:pos="993"/>
                <w:tab w:val="left" w:pos="1418"/>
              </w:tabs>
              <w:jc w:val="both"/>
              <w:rPr>
                <w:rFonts w:ascii="Arial" w:hAnsi="Arial" w:cs="Arial"/>
                <w:sz w:val="18"/>
                <w:szCs w:val="18"/>
              </w:rPr>
            </w:pPr>
            <w:r>
              <w:rPr>
                <w:rStyle w:val="Strong"/>
                <w:rFonts w:ascii="Arial" w:hAnsi="Arial" w:cs="Arial"/>
                <w:sz w:val="18"/>
                <w:szCs w:val="18"/>
              </w:rPr>
              <w:t xml:space="preserve">Declared Rare Flora – Extant </w:t>
            </w:r>
            <w:proofErr w:type="spellStart"/>
            <w:r>
              <w:rPr>
                <w:rStyle w:val="Strong"/>
                <w:rFonts w:ascii="Arial" w:hAnsi="Arial" w:cs="Arial"/>
                <w:sz w:val="18"/>
                <w:szCs w:val="18"/>
              </w:rPr>
              <w:t>taxa</w:t>
            </w:r>
            <w:proofErr w:type="spellEnd"/>
            <w:r>
              <w:rPr>
                <w:rStyle w:val="Strong"/>
                <w:rFonts w:ascii="Arial" w:hAnsi="Arial" w:cs="Arial"/>
                <w:sz w:val="18"/>
                <w:szCs w:val="18"/>
              </w:rPr>
              <w:t xml:space="preserve"> </w:t>
            </w:r>
            <w:r>
              <w:rPr>
                <w:rFonts w:ascii="Arial" w:hAnsi="Arial" w:cs="Arial"/>
                <w:i/>
                <w:sz w:val="18"/>
                <w:szCs w:val="18"/>
              </w:rPr>
              <w:t>(= Threatened Flora = Endangered + Vulnerable)</w:t>
            </w:r>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have been adequately searched for, and are deemed to be in the wild either rare, in danger of extinction, or otherwise in need of special protection, and have been gazetted as such, following approval by the Minister for the Environment, after recommendation by the State’s Endangered Flora Consultative Committee.</w:t>
            </w:r>
          </w:p>
          <w:p w:rsidR="00E73A9F" w:rsidRDefault="00E73A9F">
            <w:pPr>
              <w:tabs>
                <w:tab w:val="left" w:pos="1276"/>
                <w:tab w:val="left" w:pos="1418"/>
                <w:tab w:val="left" w:pos="3119"/>
              </w:tabs>
              <w:jc w:val="both"/>
              <w:rPr>
                <w:rFonts w:ascii="Arial" w:hAnsi="Arial" w:cs="Arial"/>
                <w:b/>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Style w:val="Strong"/>
                <w:rFonts w:ascii="Arial" w:hAnsi="Arial" w:cs="Arial"/>
                <w:sz w:val="18"/>
                <w:szCs w:val="18"/>
              </w:rPr>
              <w:t>X</w:t>
            </w:r>
          </w:p>
        </w:tc>
        <w:tc>
          <w:tcPr>
            <w:tcW w:w="8908" w:type="dxa"/>
          </w:tcPr>
          <w:p w:rsidR="00E73A9F" w:rsidRDefault="00E73A9F">
            <w:pPr>
              <w:tabs>
                <w:tab w:val="left" w:pos="993"/>
                <w:tab w:val="left" w:pos="1418"/>
              </w:tabs>
              <w:jc w:val="both"/>
              <w:rPr>
                <w:rFonts w:ascii="Arial" w:hAnsi="Arial" w:cs="Arial"/>
                <w:sz w:val="18"/>
                <w:szCs w:val="18"/>
              </w:rPr>
            </w:pPr>
            <w:r>
              <w:rPr>
                <w:rStyle w:val="Strong"/>
                <w:rFonts w:ascii="Arial" w:hAnsi="Arial" w:cs="Arial"/>
                <w:sz w:val="18"/>
                <w:szCs w:val="18"/>
              </w:rPr>
              <w:t xml:space="preserve">Declared Rare Flora - Presumed Extinct </w:t>
            </w:r>
            <w:proofErr w:type="spellStart"/>
            <w:r>
              <w:rPr>
                <w:rStyle w:val="Strong"/>
                <w:rFonts w:ascii="Arial" w:hAnsi="Arial" w:cs="Arial"/>
                <w:sz w:val="18"/>
                <w:szCs w:val="18"/>
              </w:rPr>
              <w:t>taxa</w:t>
            </w:r>
            <w:proofErr w:type="spellEnd"/>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have not been collected, or otherwise verified, over the past 50 years despite thorough searching, or of which all known wild populations have been destroyed more recently, and have been gazetted as such, following approval by the Minister for the Environment, after recommendation by the State’s Endangered Flora Consultative Committee. </w:t>
            </w:r>
          </w:p>
          <w:p w:rsidR="00E73A9F" w:rsidRDefault="00E73A9F">
            <w:pPr>
              <w:tabs>
                <w:tab w:val="left" w:pos="1276"/>
                <w:tab w:val="left" w:pos="1418"/>
                <w:tab w:val="left" w:pos="3119"/>
              </w:tabs>
              <w:jc w:val="both"/>
              <w:rPr>
                <w:rFonts w:ascii="Arial" w:hAnsi="Arial" w:cs="Arial"/>
                <w:b/>
                <w:sz w:val="8"/>
                <w:szCs w:val="8"/>
              </w:rPr>
            </w:pPr>
          </w:p>
        </w:tc>
      </w:tr>
    </w:tbl>
    <w:p w:rsidR="00E73A9F" w:rsidRDefault="00E73A9F" w:rsidP="00E73A9F">
      <w:pPr>
        <w:tabs>
          <w:tab w:val="left" w:pos="142"/>
          <w:tab w:val="left" w:pos="1418"/>
        </w:tabs>
        <w:ind w:left="1418" w:hanging="1276"/>
        <w:jc w:val="both"/>
        <w:rPr>
          <w:rFonts w:ascii="Arial" w:hAnsi="Arial" w:cs="Arial"/>
          <w:sz w:val="12"/>
          <w:szCs w:val="12"/>
        </w:rPr>
      </w:pPr>
      <w:r>
        <w:t xml:space="preserve">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75"/>
        <w:gridCol w:w="8895"/>
      </w:tblGrid>
      <w:tr w:rsidR="00E73A9F">
        <w:tc>
          <w:tcPr>
            <w:tcW w:w="10206" w:type="dxa"/>
            <w:gridSpan w:val="2"/>
          </w:tcPr>
          <w:p w:rsidR="00E73A9F" w:rsidRDefault="00E73A9F">
            <w:pPr>
              <w:pStyle w:val="Footer"/>
              <w:tabs>
                <w:tab w:val="left" w:pos="850"/>
              </w:tabs>
              <w:jc w:val="both"/>
              <w:rPr>
                <w:rFonts w:ascii="Arial" w:hAnsi="Arial" w:cs="Arial"/>
                <w:sz w:val="16"/>
                <w:szCs w:val="16"/>
              </w:rPr>
            </w:pPr>
            <w:r>
              <w:rPr>
                <w:rFonts w:ascii="Arial" w:hAnsi="Arial" w:cs="Arial"/>
                <w:b/>
                <w:sz w:val="16"/>
                <w:szCs w:val="16"/>
              </w:rPr>
              <w:t>{Wildlife Conservation (Specially Protected Fauna) Notice 2005} [Wildlife Conservation Act 1950] :-</w:t>
            </w:r>
          </w:p>
          <w:p w:rsidR="00E73A9F" w:rsidRDefault="00E73A9F">
            <w:pPr>
              <w:pStyle w:val="Footer"/>
              <w:tabs>
                <w:tab w:val="left" w:pos="850"/>
              </w:tabs>
              <w:jc w:val="both"/>
              <w:rPr>
                <w:rFonts w:ascii="Arial" w:hAnsi="Arial" w:cs="Arial"/>
                <w:sz w:val="8"/>
                <w:szCs w:val="8"/>
              </w:rPr>
            </w:pPr>
          </w:p>
        </w:tc>
      </w:tr>
      <w:tr w:rsidR="00E73A9F">
        <w:tc>
          <w:tcPr>
            <w:tcW w:w="1276" w:type="dxa"/>
          </w:tcPr>
          <w:p w:rsidR="00E73A9F" w:rsidRDefault="00E73A9F">
            <w:pPr>
              <w:pStyle w:val="Footer"/>
              <w:tabs>
                <w:tab w:val="left" w:pos="850"/>
              </w:tabs>
              <w:jc w:val="both"/>
              <w:rPr>
                <w:rFonts w:ascii="Arial" w:hAnsi="Arial" w:cs="Arial"/>
                <w:b/>
                <w:sz w:val="14"/>
                <w:szCs w:val="14"/>
              </w:rPr>
            </w:pPr>
            <w:r>
              <w:rPr>
                <w:rFonts w:ascii="Arial" w:hAnsi="Arial" w:cs="Arial"/>
                <w:b/>
                <w:sz w:val="18"/>
                <w:szCs w:val="18"/>
              </w:rPr>
              <w:t xml:space="preserve">Schedule 1 </w:t>
            </w:r>
          </w:p>
        </w:tc>
        <w:tc>
          <w:tcPr>
            <w:tcW w:w="8930" w:type="dxa"/>
          </w:tcPr>
          <w:p w:rsidR="00E73A9F" w:rsidRDefault="00E73A9F">
            <w:pPr>
              <w:pStyle w:val="Footer"/>
              <w:tabs>
                <w:tab w:val="left" w:pos="850"/>
              </w:tabs>
              <w:jc w:val="both"/>
              <w:rPr>
                <w:rFonts w:ascii="Arial" w:hAnsi="Arial" w:cs="Arial"/>
                <w:sz w:val="18"/>
                <w:szCs w:val="18"/>
              </w:rPr>
            </w:pPr>
            <w:r>
              <w:rPr>
                <w:rStyle w:val="Strong"/>
                <w:rFonts w:ascii="Arial" w:hAnsi="Arial" w:cs="Arial"/>
                <w:sz w:val="18"/>
                <w:szCs w:val="18"/>
              </w:rPr>
              <w:t xml:space="preserve">Schedule 1 – Fauna that is rare or likely to become extinct: </w:t>
            </w:r>
            <w:r>
              <w:rPr>
                <w:rFonts w:ascii="Arial" w:hAnsi="Arial" w:cs="Arial"/>
                <w:sz w:val="18"/>
                <w:szCs w:val="18"/>
              </w:rPr>
              <w:t>being fauna that is rare or likely to become extinct, are declared to be fauna that is need of special protection.</w:t>
            </w:r>
          </w:p>
          <w:p w:rsidR="00E73A9F" w:rsidRDefault="00E73A9F">
            <w:pPr>
              <w:pStyle w:val="Footer"/>
              <w:tabs>
                <w:tab w:val="left" w:pos="850"/>
              </w:tabs>
              <w:jc w:val="both"/>
              <w:rPr>
                <w:rFonts w:ascii="Arial" w:hAnsi="Arial" w:cs="Arial"/>
                <w:b/>
                <w:sz w:val="8"/>
                <w:szCs w:val="8"/>
              </w:rPr>
            </w:pPr>
          </w:p>
        </w:tc>
      </w:tr>
      <w:tr w:rsidR="00E73A9F">
        <w:tc>
          <w:tcPr>
            <w:tcW w:w="1276" w:type="dxa"/>
          </w:tcPr>
          <w:p w:rsidR="00E73A9F" w:rsidRDefault="00E73A9F">
            <w:pPr>
              <w:pStyle w:val="Footer"/>
              <w:tabs>
                <w:tab w:val="left" w:pos="850"/>
              </w:tabs>
              <w:jc w:val="both"/>
              <w:rPr>
                <w:rFonts w:ascii="Arial" w:hAnsi="Arial" w:cs="Arial"/>
                <w:b/>
                <w:sz w:val="14"/>
                <w:szCs w:val="14"/>
              </w:rPr>
            </w:pPr>
            <w:r>
              <w:rPr>
                <w:rFonts w:ascii="Arial" w:hAnsi="Arial" w:cs="Arial"/>
                <w:b/>
                <w:sz w:val="18"/>
                <w:szCs w:val="18"/>
              </w:rPr>
              <w:t xml:space="preserve">Schedule 2     </w:t>
            </w:r>
          </w:p>
        </w:tc>
        <w:tc>
          <w:tcPr>
            <w:tcW w:w="8930" w:type="dxa"/>
          </w:tcPr>
          <w:p w:rsidR="00E73A9F" w:rsidRDefault="00E73A9F">
            <w:pPr>
              <w:pStyle w:val="Footer"/>
              <w:tabs>
                <w:tab w:val="left" w:pos="850"/>
              </w:tabs>
              <w:jc w:val="both"/>
              <w:rPr>
                <w:rFonts w:ascii="Arial" w:hAnsi="Arial" w:cs="Arial"/>
                <w:sz w:val="18"/>
                <w:szCs w:val="18"/>
              </w:rPr>
            </w:pPr>
            <w:r>
              <w:rPr>
                <w:rStyle w:val="Strong"/>
                <w:rFonts w:ascii="Arial" w:hAnsi="Arial" w:cs="Arial"/>
                <w:sz w:val="18"/>
                <w:szCs w:val="18"/>
              </w:rPr>
              <w:t xml:space="preserve">Schedule 2 – Fauna that is presumed to be extinct: </w:t>
            </w:r>
            <w:r>
              <w:rPr>
                <w:rFonts w:ascii="Arial" w:hAnsi="Arial" w:cs="Arial"/>
                <w:sz w:val="18"/>
                <w:szCs w:val="18"/>
              </w:rPr>
              <w:t>being fauna that is presumed to be extinct, are declared to be fauna that is need of special protection.</w:t>
            </w:r>
          </w:p>
          <w:p w:rsidR="00E73A9F" w:rsidRDefault="00E73A9F">
            <w:pPr>
              <w:pStyle w:val="Footer"/>
              <w:tabs>
                <w:tab w:val="left" w:pos="850"/>
              </w:tabs>
              <w:jc w:val="both"/>
              <w:rPr>
                <w:rFonts w:ascii="Arial" w:hAnsi="Arial" w:cs="Arial"/>
                <w:b/>
                <w:sz w:val="8"/>
                <w:szCs w:val="8"/>
              </w:rPr>
            </w:pPr>
          </w:p>
        </w:tc>
      </w:tr>
      <w:tr w:rsidR="00E73A9F">
        <w:tc>
          <w:tcPr>
            <w:tcW w:w="1276" w:type="dxa"/>
          </w:tcPr>
          <w:p w:rsidR="00E73A9F" w:rsidRDefault="00E73A9F">
            <w:pPr>
              <w:pStyle w:val="Footer"/>
              <w:tabs>
                <w:tab w:val="left" w:pos="850"/>
              </w:tabs>
              <w:jc w:val="both"/>
              <w:rPr>
                <w:rFonts w:ascii="Arial" w:hAnsi="Arial" w:cs="Arial"/>
                <w:b/>
                <w:sz w:val="14"/>
                <w:szCs w:val="14"/>
              </w:rPr>
            </w:pPr>
            <w:r>
              <w:rPr>
                <w:rFonts w:ascii="Arial" w:hAnsi="Arial" w:cs="Arial"/>
                <w:b/>
                <w:sz w:val="18"/>
                <w:szCs w:val="18"/>
              </w:rPr>
              <w:t xml:space="preserve">Schedule 3   </w:t>
            </w:r>
          </w:p>
        </w:tc>
        <w:tc>
          <w:tcPr>
            <w:tcW w:w="8930" w:type="dxa"/>
          </w:tcPr>
          <w:p w:rsidR="00E73A9F" w:rsidRDefault="00E73A9F">
            <w:pPr>
              <w:pStyle w:val="Footer"/>
              <w:tabs>
                <w:tab w:val="left" w:pos="850"/>
              </w:tabs>
              <w:jc w:val="both"/>
              <w:rPr>
                <w:rFonts w:ascii="Arial" w:hAnsi="Arial" w:cs="Arial"/>
                <w:b/>
                <w:sz w:val="18"/>
                <w:szCs w:val="18"/>
              </w:rPr>
            </w:pPr>
            <w:r>
              <w:rPr>
                <w:rStyle w:val="Strong"/>
                <w:rFonts w:ascii="Arial" w:hAnsi="Arial" w:cs="Arial"/>
                <w:sz w:val="18"/>
                <w:szCs w:val="18"/>
              </w:rPr>
              <w:t xml:space="preserve">Schedule 3 – Birds protected under an international agreement: </w:t>
            </w:r>
            <w:r>
              <w:rPr>
                <w:rFonts w:ascii="Arial" w:hAnsi="Arial" w:cs="Arial"/>
                <w:sz w:val="18"/>
                <w:szCs w:val="18"/>
              </w:rPr>
              <w:t xml:space="preserve">being birds that are subject to an agreement between the governments of </w:t>
            </w:r>
            <w:smartTag w:uri="urn:schemas-microsoft-com:office:smarttags" w:element="country-region">
              <w:r>
                <w:rPr>
                  <w:rFonts w:ascii="Arial" w:hAnsi="Arial" w:cs="Arial"/>
                  <w:sz w:val="18"/>
                  <w:szCs w:val="18"/>
                </w:rPr>
                <w:t>Australia</w:t>
              </w:r>
            </w:smartTag>
            <w:r>
              <w:rPr>
                <w:rFonts w:ascii="Arial" w:hAnsi="Arial" w:cs="Arial"/>
                <w:sz w:val="18"/>
                <w:szCs w:val="18"/>
              </w:rPr>
              <w:t xml:space="preserve"> and </w:t>
            </w:r>
            <w:smartTag w:uri="urn:schemas-microsoft-com:office:smarttags" w:element="place">
              <w:smartTag w:uri="urn:schemas-microsoft-com:office:smarttags" w:element="PlaceType">
                <w:smartTag w:uri="urn:schemas-microsoft-com:office:smarttags" w:element="country-region">
                  <w:r>
                    <w:rPr>
                      <w:rFonts w:ascii="Arial" w:hAnsi="Arial" w:cs="Arial"/>
                      <w:sz w:val="18"/>
                      <w:szCs w:val="18"/>
                    </w:rPr>
                    <w:t>Japan</w:t>
                  </w:r>
                </w:smartTag>
              </w:smartTag>
            </w:smartTag>
            <w:r>
              <w:rPr>
                <w:rFonts w:ascii="Arial" w:hAnsi="Arial" w:cs="Arial"/>
                <w:sz w:val="18"/>
                <w:szCs w:val="18"/>
              </w:rPr>
              <w:t xml:space="preserve"> relating to the protection of migratory birds and birds in danger of extinction, are declared to be fauna that is need of special protection.</w:t>
            </w:r>
            <w:r>
              <w:rPr>
                <w:rFonts w:ascii="Arial" w:hAnsi="Arial" w:cs="Arial"/>
                <w:b/>
                <w:sz w:val="18"/>
                <w:szCs w:val="18"/>
              </w:rPr>
              <w:tab/>
            </w:r>
            <w:r>
              <w:rPr>
                <w:rFonts w:ascii="Arial" w:hAnsi="Arial" w:cs="Arial"/>
                <w:b/>
                <w:sz w:val="18"/>
                <w:szCs w:val="18"/>
              </w:rPr>
              <w:tab/>
            </w:r>
          </w:p>
          <w:p w:rsidR="00E73A9F" w:rsidRDefault="00E73A9F">
            <w:pPr>
              <w:pStyle w:val="Footer"/>
              <w:tabs>
                <w:tab w:val="left" w:pos="850"/>
              </w:tabs>
              <w:jc w:val="both"/>
              <w:rPr>
                <w:rFonts w:ascii="Arial" w:hAnsi="Arial" w:cs="Arial"/>
                <w:b/>
                <w:sz w:val="8"/>
                <w:szCs w:val="8"/>
              </w:rPr>
            </w:pPr>
          </w:p>
        </w:tc>
      </w:tr>
      <w:tr w:rsidR="00E73A9F">
        <w:tc>
          <w:tcPr>
            <w:tcW w:w="1276" w:type="dxa"/>
          </w:tcPr>
          <w:p w:rsidR="00E73A9F" w:rsidRDefault="00E73A9F">
            <w:pPr>
              <w:pStyle w:val="Footer"/>
              <w:tabs>
                <w:tab w:val="left" w:pos="850"/>
              </w:tabs>
              <w:jc w:val="both"/>
              <w:rPr>
                <w:rFonts w:ascii="Arial" w:hAnsi="Arial" w:cs="Arial"/>
                <w:b/>
                <w:sz w:val="14"/>
                <w:szCs w:val="14"/>
              </w:rPr>
            </w:pPr>
            <w:r>
              <w:rPr>
                <w:rFonts w:ascii="Arial" w:hAnsi="Arial" w:cs="Arial"/>
                <w:b/>
                <w:sz w:val="18"/>
                <w:szCs w:val="18"/>
              </w:rPr>
              <w:t xml:space="preserve">Schedule 4   </w:t>
            </w:r>
          </w:p>
        </w:tc>
        <w:tc>
          <w:tcPr>
            <w:tcW w:w="8930" w:type="dxa"/>
          </w:tcPr>
          <w:p w:rsidR="00E73A9F" w:rsidRDefault="00E73A9F">
            <w:pPr>
              <w:pStyle w:val="Footer"/>
              <w:tabs>
                <w:tab w:val="left" w:pos="850"/>
              </w:tabs>
              <w:jc w:val="both"/>
              <w:rPr>
                <w:rFonts w:ascii="Arial" w:hAnsi="Arial" w:cs="Arial"/>
                <w:sz w:val="18"/>
                <w:szCs w:val="18"/>
              </w:rPr>
            </w:pPr>
            <w:r>
              <w:rPr>
                <w:rStyle w:val="Strong"/>
                <w:rFonts w:ascii="Arial" w:hAnsi="Arial" w:cs="Arial"/>
                <w:sz w:val="18"/>
                <w:szCs w:val="18"/>
              </w:rPr>
              <w:t xml:space="preserve">Schedule 4 – Other specially protected fauna: </w:t>
            </w:r>
            <w:r>
              <w:rPr>
                <w:rFonts w:ascii="Arial" w:hAnsi="Arial" w:cs="Arial"/>
                <w:sz w:val="18"/>
                <w:szCs w:val="18"/>
              </w:rPr>
              <w:t>being</w:t>
            </w:r>
            <w:r>
              <w:rPr>
                <w:rFonts w:ascii="Arial" w:hAnsi="Arial" w:cs="Arial"/>
                <w:b/>
                <w:sz w:val="18"/>
                <w:szCs w:val="18"/>
              </w:rPr>
              <w:t xml:space="preserve"> </w:t>
            </w:r>
            <w:r>
              <w:rPr>
                <w:rFonts w:ascii="Arial" w:hAnsi="Arial" w:cs="Arial"/>
                <w:sz w:val="18"/>
                <w:szCs w:val="18"/>
              </w:rPr>
              <w:t>fauna that is declared to be fauna that is in need of special protection, otherwise than for the reasons mentioned in Schedules 1, 2 or 3.</w:t>
            </w:r>
          </w:p>
          <w:p w:rsidR="00E73A9F" w:rsidRDefault="00E73A9F">
            <w:pPr>
              <w:pStyle w:val="Footer"/>
              <w:tabs>
                <w:tab w:val="left" w:pos="850"/>
              </w:tabs>
              <w:jc w:val="both"/>
              <w:rPr>
                <w:rFonts w:ascii="Arial" w:hAnsi="Arial" w:cs="Arial"/>
                <w:b/>
                <w:sz w:val="8"/>
                <w:szCs w:val="8"/>
              </w:rPr>
            </w:pPr>
          </w:p>
        </w:tc>
      </w:tr>
    </w:tbl>
    <w:p w:rsidR="00E73A9F" w:rsidRDefault="00E73A9F" w:rsidP="00E73A9F">
      <w:pPr>
        <w:rPr>
          <w:rFonts w:ascii="Arial" w:hAnsi="Arial" w:cs="Arial"/>
          <w:sz w:val="12"/>
          <w:szCs w:val="12"/>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75"/>
        <w:gridCol w:w="8895"/>
      </w:tblGrid>
      <w:tr w:rsidR="00E73A9F">
        <w:tc>
          <w:tcPr>
            <w:tcW w:w="10184" w:type="dxa"/>
            <w:gridSpan w:val="2"/>
          </w:tcPr>
          <w:p w:rsidR="00E73A9F" w:rsidRDefault="00E73A9F">
            <w:pPr>
              <w:tabs>
                <w:tab w:val="left" w:pos="142"/>
              </w:tabs>
              <w:rPr>
                <w:rFonts w:ascii="Arial" w:hAnsi="Arial" w:cs="Arial"/>
                <w:sz w:val="18"/>
                <w:szCs w:val="18"/>
              </w:rPr>
            </w:pPr>
            <w:r>
              <w:rPr>
                <w:rFonts w:ascii="Arial" w:hAnsi="Arial" w:cs="Arial"/>
                <w:b/>
                <w:sz w:val="16"/>
                <w:szCs w:val="16"/>
              </w:rPr>
              <w:lastRenderedPageBreak/>
              <w:t xml:space="preserve">{CALM (2005). </w:t>
            </w:r>
            <w:r>
              <w:rPr>
                <w:rFonts w:ascii="Arial" w:hAnsi="Arial" w:cs="Arial"/>
                <w:b/>
                <w:i/>
                <w:sz w:val="16"/>
                <w:szCs w:val="16"/>
              </w:rPr>
              <w:t>Priority Codes for Fauna</w:t>
            </w:r>
            <w:r>
              <w:rPr>
                <w:rFonts w:ascii="Arial" w:hAnsi="Arial" w:cs="Arial"/>
                <w:b/>
                <w:sz w:val="16"/>
                <w:szCs w:val="16"/>
              </w:rPr>
              <w:t xml:space="preserve">. Department of Conservation and Land Management, </w:t>
            </w:r>
            <w:smartTag w:uri="urn:schemas-microsoft-com:office:smarttags" w:element="place">
              <w:smartTag w:uri="urn:schemas-microsoft-com:office:smarttags" w:element="PlaceType">
                <w:smartTag w:uri="urn:schemas-microsoft-com:office:smarttags" w:element="City">
                  <w:r>
                    <w:rPr>
                      <w:rFonts w:ascii="Arial" w:hAnsi="Arial" w:cs="Arial"/>
                      <w:b/>
                      <w:sz w:val="16"/>
                      <w:szCs w:val="16"/>
                    </w:rPr>
                    <w:t>Como</w:t>
                  </w:r>
                </w:smartTag>
                <w:r>
                  <w:rPr>
                    <w:rFonts w:ascii="Arial" w:hAnsi="Arial" w:cs="Arial"/>
                    <w:b/>
                    <w:sz w:val="16"/>
                    <w:szCs w:val="16"/>
                  </w:rPr>
                  <w:t xml:space="preserve">, </w:t>
                </w:r>
                <w:smartTag w:uri="urn:schemas-microsoft-com:office:smarttags" w:element="State">
                  <w:smartTag w:uri="urn:schemas-microsoft-com:office:smarttags" w:element="PlaceName">
                    <w:r>
                      <w:rPr>
                        <w:rFonts w:ascii="Arial" w:hAnsi="Arial" w:cs="Arial"/>
                        <w:b/>
                        <w:sz w:val="16"/>
                        <w:szCs w:val="16"/>
                      </w:rPr>
                      <w:t>Western Australia</w:t>
                    </w:r>
                  </w:smartTag>
                </w:smartTag>
              </w:smartTag>
            </w:smartTag>
            <w:r>
              <w:rPr>
                <w:rFonts w:ascii="Arial" w:hAnsi="Arial" w:cs="Arial"/>
                <w:b/>
                <w:sz w:val="16"/>
                <w:szCs w:val="16"/>
              </w:rPr>
              <w:t>} :-</w:t>
            </w:r>
          </w:p>
          <w:p w:rsidR="00E73A9F" w:rsidRDefault="00E73A9F">
            <w:pPr>
              <w:tabs>
                <w:tab w:val="left" w:pos="1276"/>
                <w:tab w:val="left" w:pos="1418"/>
                <w:tab w:val="left" w:pos="3119"/>
              </w:tabs>
              <w:jc w:val="both"/>
              <w:rPr>
                <w:rStyle w:val="Strong"/>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Fonts w:ascii="Arial" w:hAnsi="Arial" w:cs="Arial"/>
                <w:b/>
                <w:sz w:val="18"/>
                <w:szCs w:val="18"/>
              </w:rPr>
              <w:t>P1</w:t>
            </w:r>
          </w:p>
        </w:tc>
        <w:tc>
          <w:tcPr>
            <w:tcW w:w="8908" w:type="dxa"/>
          </w:tcPr>
          <w:p w:rsidR="00E73A9F" w:rsidRDefault="00E73A9F">
            <w:pPr>
              <w:tabs>
                <w:tab w:val="left" w:pos="1276"/>
                <w:tab w:val="left" w:pos="1418"/>
                <w:tab w:val="left" w:pos="3119"/>
              </w:tabs>
              <w:jc w:val="both"/>
              <w:rPr>
                <w:rFonts w:ascii="Arial" w:hAnsi="Arial" w:cs="Arial"/>
                <w:sz w:val="18"/>
                <w:szCs w:val="18"/>
              </w:rPr>
            </w:pPr>
            <w:r>
              <w:rPr>
                <w:rStyle w:val="Strong"/>
                <w:rFonts w:ascii="Arial" w:hAnsi="Arial" w:cs="Arial"/>
                <w:sz w:val="18"/>
                <w:szCs w:val="18"/>
              </w:rPr>
              <w:t xml:space="preserve">Priority One: </w:t>
            </w:r>
            <w:proofErr w:type="spellStart"/>
            <w:r>
              <w:rPr>
                <w:rStyle w:val="Strong"/>
                <w:rFonts w:ascii="Arial" w:hAnsi="Arial" w:cs="Arial"/>
                <w:sz w:val="18"/>
                <w:szCs w:val="18"/>
              </w:rPr>
              <w:t>Taxa</w:t>
            </w:r>
            <w:proofErr w:type="spellEnd"/>
            <w:r>
              <w:rPr>
                <w:rStyle w:val="Strong"/>
                <w:rFonts w:ascii="Arial" w:hAnsi="Arial" w:cs="Arial"/>
                <w:sz w:val="18"/>
                <w:szCs w:val="18"/>
              </w:rPr>
              <w:t xml:space="preserve"> with few, poorly known populations on threatened lands</w:t>
            </w:r>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are known from few specimens or sight records from one or a few localities on lands not managed for conservation, e.g. agricultural or pastoral lands, urban areas, active mineral leases.  The </w:t>
            </w:r>
            <w:proofErr w:type="spellStart"/>
            <w:r>
              <w:rPr>
                <w:rFonts w:ascii="Arial" w:hAnsi="Arial" w:cs="Arial"/>
                <w:sz w:val="18"/>
                <w:szCs w:val="18"/>
              </w:rPr>
              <w:t>taxon</w:t>
            </w:r>
            <w:proofErr w:type="spellEnd"/>
            <w:r>
              <w:rPr>
                <w:rFonts w:ascii="Arial" w:hAnsi="Arial" w:cs="Arial"/>
                <w:sz w:val="18"/>
                <w:szCs w:val="18"/>
              </w:rPr>
              <w:t xml:space="preserve"> needs urgent survey and evaluation of conservation status before consideration can be given to declaration as threatened fauna.</w:t>
            </w:r>
          </w:p>
          <w:p w:rsidR="00E73A9F" w:rsidRDefault="00E73A9F">
            <w:pPr>
              <w:tabs>
                <w:tab w:val="left" w:pos="1276"/>
                <w:tab w:val="left" w:pos="1418"/>
                <w:tab w:val="left" w:pos="3119"/>
              </w:tabs>
              <w:jc w:val="both"/>
              <w:rPr>
                <w:rFonts w:ascii="Arial" w:hAnsi="Arial" w:cs="Arial"/>
                <w:b/>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Fonts w:ascii="Arial" w:hAnsi="Arial" w:cs="Arial"/>
                <w:b/>
                <w:sz w:val="18"/>
                <w:szCs w:val="18"/>
              </w:rPr>
              <w:t>P2</w:t>
            </w:r>
          </w:p>
        </w:tc>
        <w:tc>
          <w:tcPr>
            <w:tcW w:w="8908" w:type="dxa"/>
          </w:tcPr>
          <w:p w:rsidR="00E73A9F" w:rsidRDefault="00E73A9F">
            <w:pPr>
              <w:tabs>
                <w:tab w:val="left" w:pos="993"/>
                <w:tab w:val="left" w:pos="1418"/>
                <w:tab w:val="left" w:pos="3119"/>
              </w:tabs>
              <w:jc w:val="both"/>
              <w:rPr>
                <w:rFonts w:ascii="Arial" w:hAnsi="Arial" w:cs="Arial"/>
                <w:sz w:val="18"/>
                <w:szCs w:val="18"/>
              </w:rPr>
            </w:pPr>
            <w:r>
              <w:rPr>
                <w:rStyle w:val="Strong"/>
                <w:rFonts w:ascii="Arial" w:hAnsi="Arial" w:cs="Arial"/>
                <w:sz w:val="18"/>
                <w:szCs w:val="18"/>
              </w:rPr>
              <w:t xml:space="preserve">Priority Two: </w:t>
            </w:r>
            <w:proofErr w:type="spellStart"/>
            <w:r>
              <w:rPr>
                <w:rStyle w:val="Strong"/>
                <w:rFonts w:ascii="Arial" w:hAnsi="Arial" w:cs="Arial"/>
                <w:sz w:val="18"/>
                <w:szCs w:val="18"/>
              </w:rPr>
              <w:t>Taxa</w:t>
            </w:r>
            <w:proofErr w:type="spellEnd"/>
            <w:r>
              <w:rPr>
                <w:rStyle w:val="Strong"/>
                <w:rFonts w:ascii="Arial" w:hAnsi="Arial" w:cs="Arial"/>
                <w:sz w:val="18"/>
                <w:szCs w:val="18"/>
              </w:rPr>
              <w:t xml:space="preserve"> with few, poorly known populations on conservation lands</w:t>
            </w:r>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are known from few specimens or sight records from one or a few localities on lands not under immediate threat of habitat destruction or degradation, e.g. national parks, conservation parks, nature reserves, State forest, vacant Crown land, water reserves, etc.  The </w:t>
            </w:r>
            <w:proofErr w:type="spellStart"/>
            <w:r>
              <w:rPr>
                <w:rFonts w:ascii="Arial" w:hAnsi="Arial" w:cs="Arial"/>
                <w:sz w:val="18"/>
                <w:szCs w:val="18"/>
              </w:rPr>
              <w:t>taxon</w:t>
            </w:r>
            <w:proofErr w:type="spellEnd"/>
            <w:r>
              <w:rPr>
                <w:rFonts w:ascii="Arial" w:hAnsi="Arial" w:cs="Arial"/>
                <w:sz w:val="18"/>
                <w:szCs w:val="18"/>
              </w:rPr>
              <w:t xml:space="preserve"> needs urgent survey and evaluation of conservation status before consideration can be given to declaration as threatened fauna.</w:t>
            </w:r>
          </w:p>
          <w:p w:rsidR="00E73A9F" w:rsidRDefault="00E73A9F">
            <w:pPr>
              <w:tabs>
                <w:tab w:val="left" w:pos="1276"/>
                <w:tab w:val="left" w:pos="1418"/>
                <w:tab w:val="left" w:pos="3119"/>
              </w:tabs>
              <w:jc w:val="both"/>
              <w:rPr>
                <w:rFonts w:ascii="Arial" w:hAnsi="Arial" w:cs="Arial"/>
                <w:b/>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Fonts w:ascii="Arial" w:hAnsi="Arial" w:cs="Arial"/>
                <w:b/>
                <w:sz w:val="18"/>
                <w:szCs w:val="18"/>
              </w:rPr>
              <w:t>P3</w:t>
            </w:r>
          </w:p>
        </w:tc>
        <w:tc>
          <w:tcPr>
            <w:tcW w:w="8908" w:type="dxa"/>
          </w:tcPr>
          <w:p w:rsidR="00E73A9F" w:rsidRDefault="00E73A9F">
            <w:pPr>
              <w:tabs>
                <w:tab w:val="left" w:pos="993"/>
                <w:tab w:val="left" w:pos="1418"/>
                <w:tab w:val="left" w:pos="3119"/>
              </w:tabs>
              <w:jc w:val="both"/>
              <w:rPr>
                <w:rFonts w:ascii="Arial" w:hAnsi="Arial" w:cs="Arial"/>
                <w:sz w:val="18"/>
                <w:szCs w:val="18"/>
              </w:rPr>
            </w:pPr>
            <w:r>
              <w:rPr>
                <w:rStyle w:val="Strong"/>
                <w:rFonts w:ascii="Arial" w:hAnsi="Arial" w:cs="Arial"/>
                <w:sz w:val="18"/>
                <w:szCs w:val="18"/>
              </w:rPr>
              <w:t xml:space="preserve">Priority Three: </w:t>
            </w:r>
            <w:proofErr w:type="spellStart"/>
            <w:r>
              <w:rPr>
                <w:rStyle w:val="Strong"/>
                <w:rFonts w:ascii="Arial" w:hAnsi="Arial" w:cs="Arial"/>
                <w:sz w:val="18"/>
                <w:szCs w:val="18"/>
              </w:rPr>
              <w:t>Taxa</w:t>
            </w:r>
            <w:proofErr w:type="spellEnd"/>
            <w:r>
              <w:rPr>
                <w:rStyle w:val="Strong"/>
                <w:rFonts w:ascii="Arial" w:hAnsi="Arial" w:cs="Arial"/>
                <w:sz w:val="18"/>
                <w:szCs w:val="18"/>
              </w:rPr>
              <w:t xml:space="preserve"> with several, poorly known populations, some on conservation lands</w:t>
            </w:r>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are known from few specimens or sight records from several localities, some of which are on lands not under immediate threat of habitat destruction or degradation.  The </w:t>
            </w:r>
            <w:proofErr w:type="spellStart"/>
            <w:r>
              <w:rPr>
                <w:rFonts w:ascii="Arial" w:hAnsi="Arial" w:cs="Arial"/>
                <w:sz w:val="18"/>
                <w:szCs w:val="18"/>
              </w:rPr>
              <w:t>taxon</w:t>
            </w:r>
            <w:proofErr w:type="spellEnd"/>
            <w:r>
              <w:rPr>
                <w:rFonts w:ascii="Arial" w:hAnsi="Arial" w:cs="Arial"/>
                <w:sz w:val="18"/>
                <w:szCs w:val="18"/>
              </w:rPr>
              <w:t xml:space="preserve"> needs urgent survey and evaluation of conservation status before consideration can be given to declaration as threatened fauna.</w:t>
            </w:r>
          </w:p>
          <w:p w:rsidR="00E73A9F" w:rsidRDefault="00E73A9F">
            <w:pPr>
              <w:tabs>
                <w:tab w:val="left" w:pos="1276"/>
                <w:tab w:val="left" w:pos="1418"/>
                <w:tab w:val="left" w:pos="3119"/>
              </w:tabs>
              <w:jc w:val="both"/>
              <w:rPr>
                <w:rFonts w:ascii="Arial" w:hAnsi="Arial" w:cs="Arial"/>
                <w:b/>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Fonts w:ascii="Arial" w:hAnsi="Arial" w:cs="Arial"/>
                <w:b/>
                <w:sz w:val="18"/>
                <w:szCs w:val="18"/>
              </w:rPr>
              <w:t>P4</w:t>
            </w:r>
          </w:p>
        </w:tc>
        <w:tc>
          <w:tcPr>
            <w:tcW w:w="8908" w:type="dxa"/>
          </w:tcPr>
          <w:p w:rsidR="00E73A9F" w:rsidRDefault="00E73A9F">
            <w:pPr>
              <w:tabs>
                <w:tab w:val="left" w:pos="1276"/>
                <w:tab w:val="left" w:pos="1418"/>
                <w:tab w:val="left" w:pos="3119"/>
              </w:tabs>
              <w:jc w:val="both"/>
              <w:rPr>
                <w:rFonts w:ascii="Arial" w:hAnsi="Arial" w:cs="Arial"/>
                <w:sz w:val="18"/>
                <w:szCs w:val="18"/>
              </w:rPr>
            </w:pPr>
            <w:r>
              <w:rPr>
                <w:rStyle w:val="Strong"/>
                <w:rFonts w:ascii="Arial" w:hAnsi="Arial" w:cs="Arial"/>
                <w:sz w:val="18"/>
                <w:szCs w:val="18"/>
              </w:rPr>
              <w:t xml:space="preserve">Priority Four: </w:t>
            </w:r>
            <w:proofErr w:type="spellStart"/>
            <w:r>
              <w:rPr>
                <w:rStyle w:val="Strong"/>
                <w:rFonts w:ascii="Arial" w:hAnsi="Arial" w:cs="Arial"/>
                <w:sz w:val="18"/>
                <w:szCs w:val="18"/>
              </w:rPr>
              <w:t>Taxa</w:t>
            </w:r>
            <w:proofErr w:type="spellEnd"/>
            <w:r>
              <w:rPr>
                <w:rStyle w:val="Strong"/>
                <w:rFonts w:ascii="Arial" w:hAnsi="Arial" w:cs="Arial"/>
                <w:sz w:val="18"/>
                <w:szCs w:val="18"/>
              </w:rPr>
              <w:t xml:space="preserve"> in need of monitoring</w:t>
            </w:r>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are considered to have been adequately surveyed, or for which sufficient knowledge is available, and which are considered not currently threatened or in need of special protection, but could be if present circumstances change.  These </w:t>
            </w:r>
            <w:proofErr w:type="spellStart"/>
            <w:r>
              <w:rPr>
                <w:rFonts w:ascii="Arial" w:hAnsi="Arial" w:cs="Arial"/>
                <w:sz w:val="18"/>
                <w:szCs w:val="18"/>
              </w:rPr>
              <w:t>taxa</w:t>
            </w:r>
            <w:proofErr w:type="spellEnd"/>
            <w:r>
              <w:rPr>
                <w:rFonts w:ascii="Arial" w:hAnsi="Arial" w:cs="Arial"/>
                <w:sz w:val="18"/>
                <w:szCs w:val="18"/>
              </w:rPr>
              <w:t xml:space="preserve"> are usually represented on conservation lands.</w:t>
            </w:r>
          </w:p>
          <w:p w:rsidR="00E73A9F" w:rsidRDefault="00E73A9F">
            <w:pPr>
              <w:tabs>
                <w:tab w:val="left" w:pos="1276"/>
                <w:tab w:val="left" w:pos="1418"/>
                <w:tab w:val="left" w:pos="3119"/>
              </w:tabs>
              <w:jc w:val="both"/>
              <w:rPr>
                <w:rFonts w:ascii="Arial" w:hAnsi="Arial" w:cs="Arial"/>
                <w:b/>
                <w:sz w:val="8"/>
                <w:szCs w:val="8"/>
              </w:rPr>
            </w:pPr>
          </w:p>
        </w:tc>
      </w:tr>
      <w:tr w:rsidR="00E73A9F">
        <w:tc>
          <w:tcPr>
            <w:tcW w:w="1276" w:type="dxa"/>
          </w:tcPr>
          <w:p w:rsidR="00E73A9F" w:rsidRDefault="00E73A9F">
            <w:pPr>
              <w:tabs>
                <w:tab w:val="left" w:pos="1276"/>
                <w:tab w:val="left" w:pos="1418"/>
                <w:tab w:val="left" w:pos="3119"/>
              </w:tabs>
              <w:jc w:val="both"/>
              <w:rPr>
                <w:rFonts w:ascii="Arial" w:hAnsi="Arial" w:cs="Arial"/>
                <w:b/>
                <w:sz w:val="18"/>
                <w:szCs w:val="18"/>
              </w:rPr>
            </w:pPr>
            <w:r>
              <w:rPr>
                <w:rStyle w:val="Strong"/>
                <w:rFonts w:ascii="Arial" w:hAnsi="Arial" w:cs="Arial"/>
                <w:sz w:val="18"/>
                <w:szCs w:val="18"/>
              </w:rPr>
              <w:t>P5</w:t>
            </w:r>
          </w:p>
        </w:tc>
        <w:tc>
          <w:tcPr>
            <w:tcW w:w="8908" w:type="dxa"/>
          </w:tcPr>
          <w:p w:rsidR="00E73A9F" w:rsidRDefault="00E73A9F">
            <w:pPr>
              <w:tabs>
                <w:tab w:val="left" w:pos="993"/>
                <w:tab w:val="left" w:pos="1418"/>
              </w:tabs>
              <w:jc w:val="both"/>
              <w:rPr>
                <w:rFonts w:ascii="Arial" w:hAnsi="Arial" w:cs="Arial"/>
                <w:sz w:val="18"/>
                <w:szCs w:val="18"/>
              </w:rPr>
            </w:pPr>
            <w:r>
              <w:rPr>
                <w:rStyle w:val="Strong"/>
                <w:rFonts w:ascii="Arial" w:hAnsi="Arial" w:cs="Arial"/>
                <w:sz w:val="18"/>
                <w:szCs w:val="18"/>
              </w:rPr>
              <w:t xml:space="preserve">Priority Five: </w:t>
            </w:r>
            <w:proofErr w:type="spellStart"/>
            <w:r>
              <w:rPr>
                <w:rStyle w:val="Strong"/>
                <w:rFonts w:ascii="Arial" w:hAnsi="Arial" w:cs="Arial"/>
                <w:sz w:val="18"/>
                <w:szCs w:val="18"/>
              </w:rPr>
              <w:t>Taxa</w:t>
            </w:r>
            <w:proofErr w:type="spellEnd"/>
            <w:r>
              <w:rPr>
                <w:rStyle w:val="Strong"/>
                <w:rFonts w:ascii="Arial" w:hAnsi="Arial" w:cs="Arial"/>
                <w:sz w:val="18"/>
                <w:szCs w:val="18"/>
              </w:rPr>
              <w:t xml:space="preserve"> in need of monitoring</w:t>
            </w:r>
            <w:r>
              <w:rPr>
                <w:rFonts w:ascii="Arial" w:hAnsi="Arial" w:cs="Arial"/>
                <w:sz w:val="18"/>
                <w:szCs w:val="18"/>
              </w:rPr>
              <w:t xml:space="preserve">: </w:t>
            </w:r>
            <w:proofErr w:type="spellStart"/>
            <w:r>
              <w:rPr>
                <w:rFonts w:ascii="Arial" w:hAnsi="Arial" w:cs="Arial"/>
                <w:sz w:val="18"/>
                <w:szCs w:val="18"/>
              </w:rPr>
              <w:t>Taxa</w:t>
            </w:r>
            <w:proofErr w:type="spellEnd"/>
            <w:r>
              <w:rPr>
                <w:rFonts w:ascii="Arial" w:hAnsi="Arial" w:cs="Arial"/>
                <w:sz w:val="18"/>
                <w:szCs w:val="18"/>
              </w:rPr>
              <w:t xml:space="preserve"> which are not considered threatened but are subject to a specific conservation program, the cessation of which would result in the species becoming threatened within five years.</w:t>
            </w:r>
          </w:p>
          <w:p w:rsidR="00E73A9F" w:rsidRDefault="00E73A9F">
            <w:pPr>
              <w:tabs>
                <w:tab w:val="left" w:pos="1276"/>
                <w:tab w:val="left" w:pos="1418"/>
                <w:tab w:val="left" w:pos="3119"/>
              </w:tabs>
              <w:jc w:val="both"/>
              <w:rPr>
                <w:rFonts w:ascii="Arial" w:hAnsi="Arial" w:cs="Arial"/>
                <w:b/>
                <w:sz w:val="8"/>
                <w:szCs w:val="8"/>
              </w:rPr>
            </w:pPr>
          </w:p>
        </w:tc>
      </w:tr>
    </w:tbl>
    <w:p w:rsidR="00E73A9F" w:rsidRDefault="00E73A9F" w:rsidP="00E73A9F">
      <w:pPr>
        <w:rPr>
          <w:rFonts w:ascii="Arial" w:hAnsi="Arial" w:cs="Arial"/>
          <w:sz w:val="12"/>
          <w:szCs w:val="12"/>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274"/>
        <w:gridCol w:w="8896"/>
      </w:tblGrid>
      <w:tr w:rsidR="00E73A9F">
        <w:tc>
          <w:tcPr>
            <w:tcW w:w="10206" w:type="dxa"/>
            <w:gridSpan w:val="2"/>
          </w:tcPr>
          <w:p w:rsidR="00E73A9F" w:rsidRDefault="00E73A9F">
            <w:pPr>
              <w:pStyle w:val="Heading2"/>
              <w:numPr>
                <w:ilvl w:val="0"/>
                <w:numId w:val="0"/>
              </w:numPr>
              <w:rPr>
                <w:rFonts w:cs="Arial"/>
                <w:sz w:val="18"/>
                <w:szCs w:val="18"/>
              </w:rPr>
            </w:pPr>
            <w:r>
              <w:rPr>
                <w:rFonts w:cs="Arial"/>
                <w:sz w:val="18"/>
                <w:szCs w:val="18"/>
              </w:rPr>
              <w:t>Categories of threatened species (</w:t>
            </w:r>
            <w:r>
              <w:rPr>
                <w:rStyle w:val="Emphasis"/>
                <w:rFonts w:cs="Arial"/>
                <w:sz w:val="18"/>
                <w:szCs w:val="18"/>
              </w:rPr>
              <w:t>Environment Protection and Biodiversity Conservation Act 1999)</w:t>
            </w:r>
            <w:r>
              <w:rPr>
                <w:rFonts w:cs="Arial"/>
                <w:sz w:val="18"/>
                <w:szCs w:val="18"/>
              </w:rPr>
              <w:t xml:space="preserve"> </w:t>
            </w:r>
          </w:p>
        </w:tc>
      </w:tr>
      <w:tr w:rsidR="00E73A9F">
        <w:tc>
          <w:tcPr>
            <w:tcW w:w="1276" w:type="dxa"/>
          </w:tcPr>
          <w:p w:rsidR="00E73A9F" w:rsidRDefault="00E73A9F">
            <w:pPr>
              <w:pStyle w:val="Heading2"/>
              <w:numPr>
                <w:ilvl w:val="0"/>
                <w:numId w:val="0"/>
              </w:numPr>
              <w:rPr>
                <w:rFonts w:cs="Arial"/>
                <w:sz w:val="18"/>
                <w:szCs w:val="18"/>
              </w:rPr>
            </w:pPr>
            <w:r>
              <w:rPr>
                <w:rFonts w:cs="Arial"/>
                <w:sz w:val="18"/>
                <w:szCs w:val="18"/>
              </w:rPr>
              <w:t>EX</w:t>
            </w:r>
          </w:p>
        </w:tc>
        <w:tc>
          <w:tcPr>
            <w:tcW w:w="8930" w:type="dxa"/>
          </w:tcPr>
          <w:p w:rsidR="00E73A9F" w:rsidRDefault="00E73A9F">
            <w:pPr>
              <w:pStyle w:val="Heading2"/>
              <w:numPr>
                <w:ilvl w:val="0"/>
                <w:numId w:val="0"/>
              </w:numPr>
              <w:rPr>
                <w:rFonts w:cs="Arial"/>
                <w:b w:val="0"/>
                <w:sz w:val="18"/>
                <w:szCs w:val="18"/>
              </w:rPr>
            </w:pPr>
            <w:r>
              <w:rPr>
                <w:rFonts w:cs="Arial"/>
                <w:sz w:val="18"/>
                <w:szCs w:val="18"/>
              </w:rPr>
              <w:t xml:space="preserve">Extinct:  </w:t>
            </w:r>
            <w:r>
              <w:rPr>
                <w:rFonts w:cs="Arial"/>
                <w:b w:val="0"/>
                <w:sz w:val="18"/>
                <w:szCs w:val="18"/>
              </w:rPr>
              <w:t>A native species for which there is no reasonable doubt that the last member of the species has died.</w:t>
            </w:r>
          </w:p>
          <w:p w:rsidR="00E73A9F" w:rsidRDefault="00E73A9F">
            <w:pPr>
              <w:rPr>
                <w:sz w:val="8"/>
                <w:szCs w:val="8"/>
              </w:rPr>
            </w:pPr>
          </w:p>
        </w:tc>
      </w:tr>
      <w:tr w:rsidR="00E73A9F">
        <w:tc>
          <w:tcPr>
            <w:tcW w:w="1276" w:type="dxa"/>
          </w:tcPr>
          <w:p w:rsidR="00E73A9F" w:rsidRDefault="00E73A9F">
            <w:pPr>
              <w:rPr>
                <w:rFonts w:ascii="Arial" w:hAnsi="Arial" w:cs="Arial"/>
                <w:b/>
                <w:sz w:val="18"/>
                <w:szCs w:val="18"/>
              </w:rPr>
            </w:pPr>
            <w:r>
              <w:rPr>
                <w:rFonts w:ascii="Arial" w:hAnsi="Arial" w:cs="Arial"/>
                <w:b/>
                <w:sz w:val="18"/>
                <w:szCs w:val="18"/>
              </w:rPr>
              <w:t>EX(W)</w:t>
            </w:r>
          </w:p>
        </w:tc>
        <w:tc>
          <w:tcPr>
            <w:tcW w:w="8930" w:type="dxa"/>
          </w:tcPr>
          <w:p w:rsidR="00E73A9F" w:rsidRDefault="00E73A9F">
            <w:pPr>
              <w:rPr>
                <w:rFonts w:ascii="Arial" w:hAnsi="Arial" w:cs="Arial"/>
                <w:b/>
                <w:sz w:val="18"/>
                <w:szCs w:val="18"/>
              </w:rPr>
            </w:pPr>
            <w:r>
              <w:rPr>
                <w:rFonts w:ascii="Arial" w:hAnsi="Arial" w:cs="Arial"/>
                <w:b/>
                <w:sz w:val="18"/>
                <w:szCs w:val="18"/>
              </w:rPr>
              <w:t xml:space="preserve">Extinct in the wild:  </w:t>
            </w:r>
            <w:r>
              <w:rPr>
                <w:rFonts w:ascii="Arial" w:hAnsi="Arial" w:cs="Arial"/>
                <w:sz w:val="18"/>
                <w:szCs w:val="18"/>
              </w:rPr>
              <w:t>A native species which:</w:t>
            </w:r>
          </w:p>
          <w:p w:rsidR="00E73A9F" w:rsidRDefault="00E73A9F">
            <w:pPr>
              <w:numPr>
                <w:ilvl w:val="0"/>
                <w:numId w:val="4"/>
              </w:numPr>
              <w:jc w:val="both"/>
              <w:rPr>
                <w:rFonts w:ascii="Arial" w:hAnsi="Arial" w:cs="Arial"/>
                <w:sz w:val="18"/>
                <w:szCs w:val="18"/>
              </w:rPr>
            </w:pPr>
            <w:r>
              <w:rPr>
                <w:rFonts w:ascii="Arial" w:hAnsi="Arial" w:cs="Arial"/>
                <w:sz w:val="18"/>
                <w:szCs w:val="18"/>
              </w:rPr>
              <w:t xml:space="preserve">is known only to survive in cultivation, in captivity or as a naturalised population well outside its past range;  or </w:t>
            </w:r>
          </w:p>
          <w:p w:rsidR="00E73A9F" w:rsidRDefault="00E73A9F">
            <w:pPr>
              <w:numPr>
                <w:ilvl w:val="0"/>
                <w:numId w:val="4"/>
              </w:numPr>
              <w:jc w:val="both"/>
              <w:rPr>
                <w:rFonts w:ascii="Arial" w:hAnsi="Arial" w:cs="Arial"/>
                <w:sz w:val="18"/>
                <w:szCs w:val="18"/>
              </w:rPr>
            </w:pPr>
            <w:proofErr w:type="gramStart"/>
            <w:r>
              <w:rPr>
                <w:rFonts w:ascii="Arial" w:hAnsi="Arial" w:cs="Arial"/>
                <w:sz w:val="18"/>
                <w:szCs w:val="18"/>
              </w:rPr>
              <w:t>has</w:t>
            </w:r>
            <w:proofErr w:type="gramEnd"/>
            <w:r>
              <w:rPr>
                <w:rFonts w:ascii="Arial" w:hAnsi="Arial" w:cs="Arial"/>
                <w:sz w:val="18"/>
                <w:szCs w:val="18"/>
              </w:rPr>
              <w:t xml:space="preserve"> not been recorded in its known and/or expected habitat, at appropriate seasons, anywhere in its past range,  despite exhaustive surveys over a time frame appropriate to its life cycle and form.</w:t>
            </w:r>
          </w:p>
          <w:p w:rsidR="00E73A9F" w:rsidRDefault="00E73A9F">
            <w:pPr>
              <w:ind w:left="360"/>
              <w:rPr>
                <w:rFonts w:ascii="Arial" w:hAnsi="Arial" w:cs="Arial"/>
                <w:b/>
                <w:sz w:val="8"/>
                <w:szCs w:val="8"/>
              </w:rPr>
            </w:pPr>
          </w:p>
        </w:tc>
      </w:tr>
      <w:tr w:rsidR="00E73A9F">
        <w:tc>
          <w:tcPr>
            <w:tcW w:w="1276" w:type="dxa"/>
          </w:tcPr>
          <w:p w:rsidR="00E73A9F" w:rsidRDefault="00E73A9F">
            <w:pPr>
              <w:rPr>
                <w:rFonts w:ascii="Arial" w:hAnsi="Arial" w:cs="Arial"/>
                <w:b/>
                <w:sz w:val="18"/>
                <w:szCs w:val="18"/>
              </w:rPr>
            </w:pPr>
            <w:r>
              <w:rPr>
                <w:rFonts w:ascii="Arial" w:hAnsi="Arial" w:cs="Arial"/>
                <w:b/>
                <w:sz w:val="18"/>
                <w:szCs w:val="18"/>
              </w:rPr>
              <w:t>CR</w:t>
            </w:r>
          </w:p>
        </w:tc>
        <w:tc>
          <w:tcPr>
            <w:tcW w:w="8930" w:type="dxa"/>
          </w:tcPr>
          <w:p w:rsidR="00E73A9F" w:rsidRDefault="00E73A9F">
            <w:pPr>
              <w:jc w:val="both"/>
              <w:rPr>
                <w:rFonts w:ascii="Arial" w:hAnsi="Arial" w:cs="Arial"/>
                <w:b/>
                <w:sz w:val="18"/>
                <w:szCs w:val="18"/>
              </w:rPr>
            </w:pPr>
            <w:r>
              <w:rPr>
                <w:rFonts w:ascii="Arial" w:hAnsi="Arial" w:cs="Arial"/>
                <w:b/>
                <w:sz w:val="18"/>
                <w:szCs w:val="18"/>
              </w:rPr>
              <w:t xml:space="preserve">Critically Endangered:  </w:t>
            </w:r>
            <w:r>
              <w:rPr>
                <w:rFonts w:ascii="Arial" w:hAnsi="Arial" w:cs="Arial"/>
                <w:sz w:val="18"/>
                <w:szCs w:val="18"/>
              </w:rPr>
              <w:t>A native species which is facing an extremely high risk of extinction in the wild in the immediate future, as determined in accordance with the prescribed criteria.</w:t>
            </w:r>
          </w:p>
          <w:p w:rsidR="00E73A9F" w:rsidRDefault="00E73A9F">
            <w:pPr>
              <w:rPr>
                <w:rFonts w:ascii="Arial" w:hAnsi="Arial" w:cs="Arial"/>
                <w:b/>
                <w:sz w:val="8"/>
                <w:szCs w:val="8"/>
              </w:rPr>
            </w:pPr>
          </w:p>
        </w:tc>
      </w:tr>
      <w:tr w:rsidR="00E73A9F">
        <w:tc>
          <w:tcPr>
            <w:tcW w:w="1276" w:type="dxa"/>
          </w:tcPr>
          <w:p w:rsidR="00E73A9F" w:rsidRDefault="00E73A9F">
            <w:pPr>
              <w:rPr>
                <w:rFonts w:ascii="Arial" w:hAnsi="Arial" w:cs="Arial"/>
                <w:b/>
                <w:sz w:val="18"/>
                <w:szCs w:val="18"/>
              </w:rPr>
            </w:pPr>
            <w:r>
              <w:rPr>
                <w:rFonts w:ascii="Arial" w:hAnsi="Arial" w:cs="Arial"/>
                <w:b/>
                <w:sz w:val="18"/>
                <w:szCs w:val="18"/>
              </w:rPr>
              <w:t>EN</w:t>
            </w:r>
          </w:p>
        </w:tc>
        <w:tc>
          <w:tcPr>
            <w:tcW w:w="8930" w:type="dxa"/>
          </w:tcPr>
          <w:p w:rsidR="00E73A9F" w:rsidRDefault="00E73A9F">
            <w:pPr>
              <w:jc w:val="both"/>
              <w:rPr>
                <w:rFonts w:ascii="Arial" w:hAnsi="Arial" w:cs="Arial"/>
                <w:sz w:val="18"/>
                <w:szCs w:val="18"/>
              </w:rPr>
            </w:pPr>
            <w:r>
              <w:rPr>
                <w:rFonts w:ascii="Arial" w:hAnsi="Arial" w:cs="Arial"/>
                <w:b/>
                <w:sz w:val="18"/>
                <w:szCs w:val="18"/>
              </w:rPr>
              <w:t xml:space="preserve">Endangered:  </w:t>
            </w:r>
            <w:r>
              <w:rPr>
                <w:rFonts w:ascii="Arial" w:hAnsi="Arial" w:cs="Arial"/>
                <w:sz w:val="18"/>
                <w:szCs w:val="18"/>
              </w:rPr>
              <w:t xml:space="preserve">A native species which:  </w:t>
            </w:r>
          </w:p>
          <w:p w:rsidR="00E73A9F" w:rsidRDefault="00E73A9F">
            <w:pPr>
              <w:numPr>
                <w:ilvl w:val="0"/>
                <w:numId w:val="5"/>
              </w:numPr>
              <w:jc w:val="both"/>
              <w:rPr>
                <w:rFonts w:ascii="Arial" w:hAnsi="Arial" w:cs="Arial"/>
                <w:sz w:val="18"/>
                <w:szCs w:val="18"/>
              </w:rPr>
            </w:pPr>
            <w:r>
              <w:rPr>
                <w:rFonts w:ascii="Arial" w:hAnsi="Arial" w:cs="Arial"/>
                <w:sz w:val="18"/>
                <w:szCs w:val="18"/>
              </w:rPr>
              <w:t>is not critically endangered;  and</w:t>
            </w:r>
          </w:p>
          <w:p w:rsidR="00E73A9F" w:rsidRDefault="00E73A9F">
            <w:pPr>
              <w:numPr>
                <w:ilvl w:val="0"/>
                <w:numId w:val="5"/>
              </w:numPr>
              <w:jc w:val="both"/>
              <w:rPr>
                <w:rFonts w:ascii="Arial" w:hAnsi="Arial" w:cs="Arial"/>
                <w:sz w:val="18"/>
                <w:szCs w:val="18"/>
              </w:rPr>
            </w:pPr>
            <w:proofErr w:type="gramStart"/>
            <w:r>
              <w:rPr>
                <w:rFonts w:ascii="Arial" w:hAnsi="Arial" w:cs="Arial"/>
                <w:sz w:val="18"/>
                <w:szCs w:val="18"/>
              </w:rPr>
              <w:t>is</w:t>
            </w:r>
            <w:proofErr w:type="gramEnd"/>
            <w:r>
              <w:rPr>
                <w:rFonts w:ascii="Arial" w:hAnsi="Arial" w:cs="Arial"/>
                <w:sz w:val="18"/>
                <w:szCs w:val="18"/>
              </w:rPr>
              <w:t xml:space="preserve"> facing a very high risk of extinction in the wild in the near future, as determined in accordance with the prescribed criteria.</w:t>
            </w:r>
          </w:p>
          <w:p w:rsidR="00E73A9F" w:rsidRDefault="00E73A9F">
            <w:pPr>
              <w:rPr>
                <w:rFonts w:ascii="Arial" w:hAnsi="Arial" w:cs="Arial"/>
                <w:sz w:val="8"/>
                <w:szCs w:val="8"/>
              </w:rPr>
            </w:pPr>
          </w:p>
        </w:tc>
      </w:tr>
      <w:tr w:rsidR="00E73A9F">
        <w:tc>
          <w:tcPr>
            <w:tcW w:w="1276" w:type="dxa"/>
          </w:tcPr>
          <w:p w:rsidR="00E73A9F" w:rsidRDefault="00E73A9F">
            <w:pPr>
              <w:rPr>
                <w:rFonts w:ascii="Arial" w:hAnsi="Arial" w:cs="Arial"/>
                <w:b/>
                <w:sz w:val="18"/>
                <w:szCs w:val="18"/>
              </w:rPr>
            </w:pPr>
            <w:r>
              <w:rPr>
                <w:rFonts w:ascii="Arial" w:hAnsi="Arial" w:cs="Arial"/>
                <w:b/>
                <w:sz w:val="18"/>
                <w:szCs w:val="18"/>
              </w:rPr>
              <w:t>VU</w:t>
            </w:r>
          </w:p>
        </w:tc>
        <w:tc>
          <w:tcPr>
            <w:tcW w:w="8930" w:type="dxa"/>
          </w:tcPr>
          <w:p w:rsidR="00E73A9F" w:rsidRDefault="00E73A9F">
            <w:pPr>
              <w:jc w:val="both"/>
              <w:rPr>
                <w:rFonts w:ascii="Arial" w:hAnsi="Arial" w:cs="Arial"/>
                <w:sz w:val="18"/>
                <w:szCs w:val="18"/>
              </w:rPr>
            </w:pPr>
            <w:r>
              <w:rPr>
                <w:rFonts w:ascii="Arial" w:hAnsi="Arial" w:cs="Arial"/>
                <w:b/>
                <w:sz w:val="18"/>
                <w:szCs w:val="18"/>
              </w:rPr>
              <w:t xml:space="preserve">Vulnerable:  </w:t>
            </w:r>
            <w:r>
              <w:rPr>
                <w:rFonts w:ascii="Arial" w:hAnsi="Arial" w:cs="Arial"/>
                <w:sz w:val="18"/>
                <w:szCs w:val="18"/>
              </w:rPr>
              <w:t>A native species which:</w:t>
            </w:r>
          </w:p>
          <w:p w:rsidR="00E73A9F" w:rsidRDefault="00E73A9F">
            <w:pPr>
              <w:numPr>
                <w:ilvl w:val="0"/>
                <w:numId w:val="6"/>
              </w:numPr>
              <w:jc w:val="both"/>
              <w:rPr>
                <w:rFonts w:ascii="Arial" w:hAnsi="Arial" w:cs="Arial"/>
                <w:sz w:val="18"/>
                <w:szCs w:val="18"/>
              </w:rPr>
            </w:pPr>
            <w:r>
              <w:rPr>
                <w:rFonts w:ascii="Arial" w:hAnsi="Arial" w:cs="Arial"/>
                <w:sz w:val="18"/>
                <w:szCs w:val="18"/>
              </w:rPr>
              <w:t>is not critically endangered or endangered;  and</w:t>
            </w:r>
          </w:p>
          <w:p w:rsidR="00E73A9F" w:rsidRDefault="00E73A9F">
            <w:pPr>
              <w:numPr>
                <w:ilvl w:val="0"/>
                <w:numId w:val="6"/>
              </w:numPr>
              <w:jc w:val="both"/>
              <w:rPr>
                <w:rFonts w:ascii="Arial" w:hAnsi="Arial" w:cs="Arial"/>
                <w:sz w:val="18"/>
                <w:szCs w:val="18"/>
              </w:rPr>
            </w:pPr>
            <w:proofErr w:type="gramStart"/>
            <w:r>
              <w:rPr>
                <w:rFonts w:ascii="Arial" w:hAnsi="Arial" w:cs="Arial"/>
                <w:sz w:val="18"/>
                <w:szCs w:val="18"/>
              </w:rPr>
              <w:t>is</w:t>
            </w:r>
            <w:proofErr w:type="gramEnd"/>
            <w:r>
              <w:rPr>
                <w:rFonts w:ascii="Arial" w:hAnsi="Arial" w:cs="Arial"/>
                <w:sz w:val="18"/>
                <w:szCs w:val="18"/>
              </w:rPr>
              <w:t xml:space="preserve"> facing a high risk of extinction in the wild in the </w:t>
            </w:r>
            <w:proofErr w:type="spellStart"/>
            <w:r>
              <w:rPr>
                <w:rFonts w:ascii="Arial" w:hAnsi="Arial" w:cs="Arial"/>
                <w:sz w:val="18"/>
                <w:szCs w:val="18"/>
              </w:rPr>
              <w:t>medium</w:t>
            </w:r>
            <w:r>
              <w:rPr>
                <w:rFonts w:ascii="Arial" w:hAnsi="Arial" w:cs="Arial"/>
                <w:sz w:val="18"/>
                <w:szCs w:val="18"/>
              </w:rPr>
              <w:noBreakHyphen/>
              <w:t>term</w:t>
            </w:r>
            <w:proofErr w:type="spellEnd"/>
            <w:r>
              <w:rPr>
                <w:rFonts w:ascii="Arial" w:hAnsi="Arial" w:cs="Arial"/>
                <w:sz w:val="18"/>
                <w:szCs w:val="18"/>
              </w:rPr>
              <w:t xml:space="preserve"> future, as determined in accordance with the prescribed criteria.</w:t>
            </w:r>
          </w:p>
          <w:p w:rsidR="00E73A9F" w:rsidRDefault="00E73A9F">
            <w:pPr>
              <w:rPr>
                <w:rFonts w:ascii="Arial" w:hAnsi="Arial" w:cs="Arial"/>
                <w:sz w:val="8"/>
                <w:szCs w:val="8"/>
              </w:rPr>
            </w:pPr>
          </w:p>
        </w:tc>
      </w:tr>
      <w:tr w:rsidR="00E73A9F">
        <w:tc>
          <w:tcPr>
            <w:tcW w:w="1276" w:type="dxa"/>
          </w:tcPr>
          <w:p w:rsidR="00E73A9F" w:rsidRDefault="00E73A9F">
            <w:pPr>
              <w:rPr>
                <w:rFonts w:ascii="Arial" w:hAnsi="Arial" w:cs="Arial"/>
                <w:b/>
                <w:sz w:val="18"/>
                <w:szCs w:val="18"/>
              </w:rPr>
            </w:pPr>
            <w:r>
              <w:rPr>
                <w:rFonts w:ascii="Arial" w:hAnsi="Arial" w:cs="Arial"/>
                <w:b/>
                <w:sz w:val="18"/>
                <w:szCs w:val="18"/>
              </w:rPr>
              <w:t>CD</w:t>
            </w:r>
          </w:p>
        </w:tc>
        <w:tc>
          <w:tcPr>
            <w:tcW w:w="8930" w:type="dxa"/>
          </w:tcPr>
          <w:p w:rsidR="00E73A9F" w:rsidRDefault="00E73A9F">
            <w:pPr>
              <w:jc w:val="both"/>
              <w:rPr>
                <w:rFonts w:ascii="Arial" w:hAnsi="Arial" w:cs="Arial"/>
                <w:sz w:val="18"/>
                <w:szCs w:val="18"/>
              </w:rPr>
            </w:pPr>
            <w:r>
              <w:rPr>
                <w:rFonts w:ascii="Arial" w:hAnsi="Arial" w:cs="Arial"/>
                <w:b/>
                <w:sz w:val="18"/>
                <w:szCs w:val="18"/>
              </w:rPr>
              <w:t xml:space="preserve">Conservation Dependent:  </w:t>
            </w:r>
            <w:r>
              <w:rPr>
                <w:rFonts w:ascii="Arial" w:hAnsi="Arial" w:cs="Arial"/>
                <w:sz w:val="18"/>
                <w:szCs w:val="18"/>
              </w:rPr>
              <w:t>A native species which is the focus of a specific conservation program, the cessation of which would result in the species becoming vulnerable, endangered or critically endangered within a period of 5 years.</w:t>
            </w:r>
          </w:p>
          <w:p w:rsidR="00E73A9F" w:rsidRDefault="00E73A9F">
            <w:pPr>
              <w:jc w:val="both"/>
              <w:rPr>
                <w:rFonts w:ascii="Arial" w:hAnsi="Arial" w:cs="Arial"/>
                <w:sz w:val="8"/>
                <w:szCs w:val="8"/>
              </w:rPr>
            </w:pPr>
          </w:p>
        </w:tc>
      </w:tr>
    </w:tbl>
    <w:p w:rsidR="00E73A9F" w:rsidRDefault="00E73A9F" w:rsidP="00E73A9F">
      <w:pPr>
        <w:rPr>
          <w:rFonts w:ascii="Arial" w:hAnsi="Arial" w:cs="Arial"/>
        </w:rPr>
      </w:pPr>
    </w:p>
    <w:p w:rsidR="00081F88" w:rsidRDefault="00081F88"/>
    <w:sectPr w:rsidR="00081F88" w:rsidSect="004C7B20">
      <w:footerReference w:type="even" r:id="rId8"/>
      <w:footerReference w:type="default" r:id="rId9"/>
      <w:pgSz w:w="11906" w:h="16838"/>
      <w:pgMar w:top="709" w:right="851" w:bottom="567"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89" w:rsidRDefault="008F0889">
      <w:r>
        <w:separator/>
      </w:r>
    </w:p>
  </w:endnote>
  <w:endnote w:type="continuationSeparator" w:id="0">
    <w:p w:rsidR="008F0889" w:rsidRDefault="008F0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B0" w:rsidRDefault="00BE4F33">
    <w:pPr>
      <w:pStyle w:val="Footer"/>
      <w:framePr w:wrap="around" w:vAnchor="text" w:hAnchor="margin" w:xAlign="right" w:y="1"/>
      <w:rPr>
        <w:rStyle w:val="PageNumber"/>
      </w:rPr>
    </w:pPr>
    <w:r>
      <w:rPr>
        <w:rStyle w:val="PageNumber"/>
      </w:rPr>
      <w:fldChar w:fldCharType="begin"/>
    </w:r>
    <w:r w:rsidR="00D12AB0">
      <w:rPr>
        <w:rStyle w:val="PageNumber"/>
      </w:rPr>
      <w:instrText xml:space="preserve">PAGE  </w:instrText>
    </w:r>
    <w:r>
      <w:rPr>
        <w:rStyle w:val="PageNumber"/>
      </w:rPr>
      <w:fldChar w:fldCharType="end"/>
    </w:r>
  </w:p>
  <w:p w:rsidR="00D12AB0" w:rsidRDefault="00D12AB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B0" w:rsidRDefault="00D12AB0">
    <w:pPr>
      <w:pStyle w:val="Footer"/>
      <w:jc w:val="right"/>
      <w:rPr>
        <w:rFonts w:ascii="Arial" w:hAnsi="Arial"/>
        <w:sz w:val="16"/>
      </w:rPr>
    </w:pPr>
    <w:r>
      <w:rPr>
        <w:rStyle w:val="PageNumber"/>
        <w:rFonts w:ascii="Arial" w:hAnsi="Arial"/>
        <w:snapToGrid w:val="0"/>
        <w:sz w:val="16"/>
        <w:lang w:eastAsia="en-US"/>
      </w:rPr>
      <w:t xml:space="preserve">Page </w:t>
    </w:r>
    <w:r w:rsidR="00BE4F33">
      <w:rPr>
        <w:rStyle w:val="PageNumber"/>
        <w:rFonts w:ascii="Arial" w:hAnsi="Arial"/>
        <w:snapToGrid w:val="0"/>
        <w:sz w:val="16"/>
        <w:lang w:eastAsia="en-US"/>
      </w:rPr>
      <w:fldChar w:fldCharType="begin"/>
    </w:r>
    <w:r>
      <w:rPr>
        <w:rStyle w:val="PageNumber"/>
        <w:rFonts w:ascii="Arial" w:hAnsi="Arial"/>
        <w:snapToGrid w:val="0"/>
        <w:sz w:val="16"/>
        <w:lang w:eastAsia="en-US"/>
      </w:rPr>
      <w:instrText xml:space="preserve"> PAGE </w:instrText>
    </w:r>
    <w:r w:rsidR="00BE4F33">
      <w:rPr>
        <w:rStyle w:val="PageNumber"/>
        <w:rFonts w:ascii="Arial" w:hAnsi="Arial"/>
        <w:snapToGrid w:val="0"/>
        <w:sz w:val="16"/>
        <w:lang w:eastAsia="en-US"/>
      </w:rPr>
      <w:fldChar w:fldCharType="separate"/>
    </w:r>
    <w:r w:rsidR="00D75B3D">
      <w:rPr>
        <w:rStyle w:val="PageNumber"/>
        <w:rFonts w:ascii="Arial" w:hAnsi="Arial"/>
        <w:noProof/>
        <w:snapToGrid w:val="0"/>
        <w:sz w:val="16"/>
        <w:lang w:eastAsia="en-US"/>
      </w:rPr>
      <w:t>1</w:t>
    </w:r>
    <w:r w:rsidR="00BE4F33">
      <w:rPr>
        <w:rStyle w:val="PageNumber"/>
        <w:rFonts w:ascii="Arial" w:hAnsi="Arial"/>
        <w:snapToGrid w:val="0"/>
        <w:sz w:val="16"/>
        <w:lang w:eastAsia="en-US"/>
      </w:rPr>
      <w:fldChar w:fldCharType="end"/>
    </w:r>
    <w:r>
      <w:rPr>
        <w:rStyle w:val="PageNumber"/>
        <w:rFonts w:ascii="Arial" w:hAnsi="Arial"/>
        <w:snapToGrid w:val="0"/>
        <w:sz w:val="16"/>
        <w:lang w:eastAsia="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89" w:rsidRDefault="008F0889">
      <w:r>
        <w:separator/>
      </w:r>
    </w:p>
  </w:footnote>
  <w:footnote w:type="continuationSeparator" w:id="0">
    <w:p w:rsidR="008F0889" w:rsidRDefault="008F0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94B6E"/>
    <w:multiLevelType w:val="hybridMultilevel"/>
    <w:tmpl w:val="7C3459AC"/>
    <w:lvl w:ilvl="0" w:tplc="10A6ED8A">
      <w:start w:val="1"/>
      <w:numFmt w:val="lowerLetter"/>
      <w:lvlText w:val="(%1)"/>
      <w:lvlJc w:val="left"/>
      <w:pPr>
        <w:tabs>
          <w:tab w:val="num" w:pos="360"/>
        </w:tabs>
        <w:ind w:left="360" w:hanging="360"/>
      </w:pPr>
    </w:lvl>
    <w:lvl w:ilvl="1" w:tplc="8A882D84">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2F551C94"/>
    <w:multiLevelType w:val="hybridMultilevel"/>
    <w:tmpl w:val="1CFA0FAA"/>
    <w:lvl w:ilvl="0" w:tplc="A6D25B5A">
      <w:start w:val="1"/>
      <w:numFmt w:val="lowerLetter"/>
      <w:lvlText w:val="(%1)"/>
      <w:lvlJc w:val="left"/>
      <w:pPr>
        <w:tabs>
          <w:tab w:val="num" w:pos="390"/>
        </w:tabs>
        <w:ind w:left="39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395245B7"/>
    <w:multiLevelType w:val="hybridMultilevel"/>
    <w:tmpl w:val="DB7A838E"/>
    <w:lvl w:ilvl="0" w:tplc="04245122">
      <w:start w:val="1"/>
      <w:numFmt w:val="lowerLetter"/>
      <w:lvlText w:val="(%1)"/>
      <w:lvlJc w:val="left"/>
      <w:pPr>
        <w:tabs>
          <w:tab w:val="num" w:pos="390"/>
        </w:tabs>
        <w:ind w:left="39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41FB6CEA"/>
    <w:multiLevelType w:val="multilevel"/>
    <w:tmpl w:val="A584409A"/>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D670A11"/>
    <w:multiLevelType w:val="singleLevel"/>
    <w:tmpl w:val="0C090019"/>
    <w:lvl w:ilvl="0">
      <w:start w:val="2"/>
      <w:numFmt w:val="lowerLetter"/>
      <w:lvlText w:val="(%1)"/>
      <w:lvlJc w:val="left"/>
      <w:pPr>
        <w:tabs>
          <w:tab w:val="num" w:pos="360"/>
        </w:tabs>
        <w:ind w:left="360" w:hanging="360"/>
      </w:pPr>
      <w:rPr>
        <w:rFonts w:hint="default"/>
      </w:rPr>
    </w:lvl>
  </w:abstractNum>
  <w:abstractNum w:abstractNumId="5">
    <w:nsid w:val="61CE6683"/>
    <w:multiLevelType w:val="hybridMultilevel"/>
    <w:tmpl w:val="37B6C056"/>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7C6A37D7"/>
    <w:multiLevelType w:val="singleLevel"/>
    <w:tmpl w:val="975E7FD2"/>
    <w:lvl w:ilvl="0">
      <w:start w:val="1"/>
      <w:numFmt w:val="bullet"/>
      <w:pStyle w:val="Bullet2"/>
      <w:lvlText w:val=""/>
      <w:lvlJc w:val="left"/>
      <w:pPr>
        <w:tabs>
          <w:tab w:val="num" w:pos="360"/>
        </w:tabs>
        <w:ind w:left="360" w:hanging="360"/>
      </w:pPr>
      <w:rPr>
        <w:rFonts w:ascii="Symbol" w:hAnsi="Symbol" w:hint="default"/>
        <w:sz w:val="20"/>
      </w:rPr>
    </w:lvl>
  </w:abstractNum>
  <w:num w:numId="1">
    <w:abstractNumId w:val="3"/>
  </w:num>
  <w:num w:numId="2">
    <w:abstractNumId w:val="6"/>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8" w:dllVersion="513" w:checkStyle="1"/>
  <w:proofState w:spelling="clean" w:grammar="clean"/>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5793E"/>
    <w:rsid w:val="0005114A"/>
    <w:rsid w:val="00081F88"/>
    <w:rsid w:val="000F4537"/>
    <w:rsid w:val="001178CC"/>
    <w:rsid w:val="00166213"/>
    <w:rsid w:val="001C75D8"/>
    <w:rsid w:val="002A0072"/>
    <w:rsid w:val="002B15E8"/>
    <w:rsid w:val="002B4ED6"/>
    <w:rsid w:val="002F5A93"/>
    <w:rsid w:val="003017F4"/>
    <w:rsid w:val="003434E5"/>
    <w:rsid w:val="00395D04"/>
    <w:rsid w:val="004076CD"/>
    <w:rsid w:val="004337AC"/>
    <w:rsid w:val="00441B77"/>
    <w:rsid w:val="00481D5D"/>
    <w:rsid w:val="00487AE0"/>
    <w:rsid w:val="004A0DDE"/>
    <w:rsid w:val="004C7B20"/>
    <w:rsid w:val="00573D8E"/>
    <w:rsid w:val="006B4582"/>
    <w:rsid w:val="006C5B95"/>
    <w:rsid w:val="00867BA4"/>
    <w:rsid w:val="008F0889"/>
    <w:rsid w:val="009553A7"/>
    <w:rsid w:val="00A44204"/>
    <w:rsid w:val="00A92DC5"/>
    <w:rsid w:val="00B11434"/>
    <w:rsid w:val="00BE4F33"/>
    <w:rsid w:val="00C73695"/>
    <w:rsid w:val="00CA3108"/>
    <w:rsid w:val="00D12AB0"/>
    <w:rsid w:val="00D75B3D"/>
    <w:rsid w:val="00E038CC"/>
    <w:rsid w:val="00E05F1A"/>
    <w:rsid w:val="00E73A9F"/>
    <w:rsid w:val="00F31E52"/>
    <w:rsid w:val="00F5793E"/>
    <w:rsid w:val="00FA335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8">
      <o:colormru v:ext="edit" colors="#ddd"/>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B20"/>
    <w:rPr>
      <w:sz w:val="24"/>
    </w:rPr>
  </w:style>
  <w:style w:type="paragraph" w:styleId="Heading1">
    <w:name w:val="heading 1"/>
    <w:basedOn w:val="Normal"/>
    <w:next w:val="Normal"/>
    <w:qFormat/>
    <w:rsid w:val="004C7B20"/>
    <w:pPr>
      <w:keepNext/>
      <w:numPr>
        <w:numId w:val="1"/>
      </w:numPr>
      <w:shd w:val="clear" w:color="auto" w:fill="000000"/>
      <w:spacing w:before="240" w:after="60"/>
      <w:ind w:left="357" w:hanging="357"/>
      <w:outlineLvl w:val="0"/>
    </w:pPr>
    <w:rPr>
      <w:rFonts w:ascii="Arial" w:hAnsi="Arial"/>
      <w:b/>
      <w:color w:val="FFFFFF"/>
      <w:kern w:val="28"/>
      <w:sz w:val="20"/>
    </w:rPr>
  </w:style>
  <w:style w:type="paragraph" w:styleId="Heading2">
    <w:name w:val="heading 2"/>
    <w:basedOn w:val="Normal"/>
    <w:next w:val="Normal"/>
    <w:qFormat/>
    <w:rsid w:val="004C7B20"/>
    <w:pPr>
      <w:keepNext/>
      <w:numPr>
        <w:ilvl w:val="1"/>
        <w:numId w:val="1"/>
      </w:numPr>
      <w:tabs>
        <w:tab w:val="clear" w:pos="792"/>
        <w:tab w:val="num" w:pos="567"/>
      </w:tabs>
      <w:spacing w:before="120"/>
      <w:ind w:left="567" w:hanging="567"/>
      <w:outlineLvl w:val="1"/>
    </w:pPr>
    <w:rPr>
      <w:rFonts w:ascii="Arial" w:hAnsi="Arial"/>
      <w:b/>
      <w:sz w:val="20"/>
    </w:rPr>
  </w:style>
  <w:style w:type="paragraph" w:styleId="Heading3">
    <w:name w:val="heading 3"/>
    <w:basedOn w:val="Normal"/>
    <w:next w:val="Normal"/>
    <w:qFormat/>
    <w:rsid w:val="004C7B20"/>
    <w:pPr>
      <w:keepNext/>
      <w:numPr>
        <w:ilvl w:val="2"/>
        <w:numId w:val="1"/>
      </w:numPr>
      <w:tabs>
        <w:tab w:val="clear" w:pos="1440"/>
        <w:tab w:val="num" w:pos="567"/>
      </w:tabs>
      <w:spacing w:before="60"/>
      <w:ind w:left="0" w:firstLine="0"/>
      <w:outlineLvl w:val="2"/>
    </w:pPr>
    <w:rPr>
      <w:rFonts w:ascii="Arial" w:hAnsi="Arial"/>
      <w:i/>
      <w:sz w:val="20"/>
    </w:rPr>
  </w:style>
  <w:style w:type="paragraph" w:styleId="Heading4">
    <w:name w:val="heading 4"/>
    <w:basedOn w:val="Normal"/>
    <w:next w:val="Normal"/>
    <w:qFormat/>
    <w:rsid w:val="004C7B20"/>
    <w:pPr>
      <w:keepNext/>
      <w:spacing w:before="120" w:after="120"/>
      <w:ind w:left="426" w:hanging="426"/>
      <w:outlineLvl w:val="3"/>
    </w:pPr>
    <w:rPr>
      <w:rFonts w:ascii="Arial" w:hAnsi="Arial"/>
      <w:b/>
      <w:sz w:val="20"/>
    </w:rPr>
  </w:style>
  <w:style w:type="paragraph" w:styleId="Heading5">
    <w:name w:val="heading 5"/>
    <w:basedOn w:val="Normal"/>
    <w:next w:val="Normal"/>
    <w:qFormat/>
    <w:rsid w:val="004C7B20"/>
    <w:pPr>
      <w:keepNext/>
      <w:widowControl w:val="0"/>
      <w:tabs>
        <w:tab w:val="left" w:pos="709"/>
        <w:tab w:val="left" w:pos="1134"/>
        <w:tab w:val="left" w:pos="1701"/>
        <w:tab w:val="left" w:pos="3119"/>
        <w:tab w:val="left" w:pos="4536"/>
        <w:tab w:val="left" w:pos="6237"/>
        <w:tab w:val="right" w:pos="9072"/>
      </w:tabs>
      <w:jc w:val="both"/>
      <w:outlineLvl w:val="4"/>
    </w:pPr>
    <w:rPr>
      <w:b/>
    </w:rPr>
  </w:style>
  <w:style w:type="paragraph" w:styleId="Heading6">
    <w:name w:val="heading 6"/>
    <w:basedOn w:val="Normal"/>
    <w:next w:val="Normal"/>
    <w:qFormat/>
    <w:rsid w:val="004C7B20"/>
    <w:pPr>
      <w:keepNext/>
      <w:outlineLvl w:val="5"/>
    </w:pPr>
  </w:style>
  <w:style w:type="paragraph" w:styleId="Heading7">
    <w:name w:val="heading 7"/>
    <w:basedOn w:val="Normal"/>
    <w:next w:val="Normal"/>
    <w:qFormat/>
    <w:rsid w:val="004C7B20"/>
    <w:pPr>
      <w:keepNext/>
      <w:outlineLvl w:val="6"/>
    </w:pPr>
    <w:rPr>
      <w:u w:val="single"/>
    </w:rPr>
  </w:style>
  <w:style w:type="paragraph" w:styleId="Heading8">
    <w:name w:val="heading 8"/>
    <w:basedOn w:val="Normal"/>
    <w:next w:val="Normal"/>
    <w:qFormat/>
    <w:rsid w:val="004C7B20"/>
    <w:pPr>
      <w:keepNext/>
      <w:outlineLvl w:val="7"/>
    </w:pPr>
    <w:rPr>
      <w:rFonts w:ascii="Arial" w:hAnsi="Arial"/>
      <w:b/>
      <w:sz w:val="20"/>
    </w:rPr>
  </w:style>
  <w:style w:type="paragraph" w:styleId="Heading9">
    <w:name w:val="heading 9"/>
    <w:basedOn w:val="Normal"/>
    <w:next w:val="Normal"/>
    <w:qFormat/>
    <w:rsid w:val="004C7B20"/>
    <w:pPr>
      <w:keepNext/>
      <w:jc w:val="righ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7B20"/>
    <w:pPr>
      <w:spacing w:before="240" w:after="60"/>
      <w:jc w:val="center"/>
      <w:outlineLvl w:val="0"/>
    </w:pPr>
    <w:rPr>
      <w:rFonts w:ascii="Arial" w:hAnsi="Arial"/>
      <w:b/>
      <w:kern w:val="28"/>
      <w:sz w:val="32"/>
    </w:rPr>
  </w:style>
  <w:style w:type="paragraph" w:styleId="Footer">
    <w:name w:val="footer"/>
    <w:basedOn w:val="Normal"/>
    <w:rsid w:val="004C7B20"/>
    <w:pPr>
      <w:tabs>
        <w:tab w:val="center" w:pos="4153"/>
        <w:tab w:val="right" w:pos="8306"/>
      </w:tabs>
    </w:pPr>
  </w:style>
  <w:style w:type="character" w:styleId="PageNumber">
    <w:name w:val="page number"/>
    <w:basedOn w:val="DefaultParagraphFont"/>
    <w:rsid w:val="004C7B20"/>
  </w:style>
  <w:style w:type="character" w:styleId="CommentReference">
    <w:name w:val="annotation reference"/>
    <w:basedOn w:val="DefaultParagraphFont"/>
    <w:semiHidden/>
    <w:rsid w:val="004C7B20"/>
    <w:rPr>
      <w:sz w:val="16"/>
    </w:rPr>
  </w:style>
  <w:style w:type="paragraph" w:styleId="CommentText">
    <w:name w:val="annotation text"/>
    <w:basedOn w:val="Normal"/>
    <w:semiHidden/>
    <w:rsid w:val="004C7B20"/>
    <w:rPr>
      <w:sz w:val="20"/>
    </w:rPr>
  </w:style>
  <w:style w:type="character" w:styleId="Hyperlink">
    <w:name w:val="Hyperlink"/>
    <w:basedOn w:val="DefaultParagraphFont"/>
    <w:rsid w:val="004C7B20"/>
    <w:rPr>
      <w:rFonts w:ascii="Comic Sans MS" w:hAnsi="Comic Sans MS"/>
      <w:color w:val="0000FF"/>
      <w:sz w:val="24"/>
      <w:u w:val="single"/>
    </w:rPr>
  </w:style>
  <w:style w:type="paragraph" w:customStyle="1" w:styleId="Bullet2">
    <w:name w:val="Bullet 2"/>
    <w:basedOn w:val="Normal"/>
    <w:rsid w:val="004C7B20"/>
    <w:pPr>
      <w:numPr>
        <w:numId w:val="2"/>
      </w:numPr>
    </w:pPr>
    <w:rPr>
      <w:lang w:eastAsia="en-US"/>
    </w:rPr>
  </w:style>
  <w:style w:type="paragraph" w:styleId="Header">
    <w:name w:val="header"/>
    <w:basedOn w:val="Normal"/>
    <w:rsid w:val="004C7B20"/>
    <w:pPr>
      <w:tabs>
        <w:tab w:val="center" w:pos="4153"/>
        <w:tab w:val="right" w:pos="8306"/>
      </w:tabs>
    </w:pPr>
    <w:rPr>
      <w:lang w:eastAsia="en-US"/>
    </w:rPr>
  </w:style>
  <w:style w:type="paragraph" w:customStyle="1" w:styleId="Criteria">
    <w:name w:val="Criteria"/>
    <w:basedOn w:val="Heading2"/>
    <w:rsid w:val="004C7B20"/>
    <w:pPr>
      <w:spacing w:before="0"/>
    </w:pPr>
    <w:rPr>
      <w:rFonts w:ascii="Times New Roman" w:hAnsi="Times New Roman"/>
      <w:b w:val="0"/>
      <w:i/>
      <w:lang w:eastAsia="en-US"/>
    </w:rPr>
  </w:style>
  <w:style w:type="paragraph" w:styleId="DocumentMap">
    <w:name w:val="Document Map"/>
    <w:basedOn w:val="Normal"/>
    <w:semiHidden/>
    <w:rsid w:val="004C7B20"/>
    <w:pPr>
      <w:shd w:val="clear" w:color="auto" w:fill="000080"/>
    </w:pPr>
    <w:rPr>
      <w:rFonts w:ascii="Tahoma" w:hAnsi="Tahoma"/>
    </w:rPr>
  </w:style>
  <w:style w:type="paragraph" w:styleId="BodyTextIndent">
    <w:name w:val="Body Text Indent"/>
    <w:basedOn w:val="Normal"/>
    <w:rsid w:val="004C7B20"/>
    <w:pPr>
      <w:ind w:left="720" w:hanging="720"/>
    </w:pPr>
    <w:rPr>
      <w:lang w:eastAsia="en-US"/>
    </w:rPr>
  </w:style>
  <w:style w:type="paragraph" w:customStyle="1" w:styleId="table">
    <w:name w:val="table"/>
    <w:basedOn w:val="BodyText2"/>
    <w:rsid w:val="004C7B20"/>
    <w:pPr>
      <w:tabs>
        <w:tab w:val="left" w:pos="426"/>
      </w:tabs>
      <w:spacing w:before="20" w:after="0" w:line="240" w:lineRule="auto"/>
      <w:ind w:right="-57"/>
    </w:pPr>
    <w:rPr>
      <w:rFonts w:ascii="Arial" w:hAnsi="Arial"/>
      <w:noProof/>
      <w:sz w:val="18"/>
    </w:rPr>
  </w:style>
  <w:style w:type="paragraph" w:styleId="BodyText2">
    <w:name w:val="Body Text 2"/>
    <w:basedOn w:val="Normal"/>
    <w:rsid w:val="004C7B20"/>
    <w:pPr>
      <w:spacing w:after="120" w:line="480" w:lineRule="auto"/>
    </w:pPr>
  </w:style>
  <w:style w:type="paragraph" w:styleId="BodyText">
    <w:name w:val="Body Text"/>
    <w:basedOn w:val="Normal"/>
    <w:rsid w:val="004C7B20"/>
    <w:rPr>
      <w:sz w:val="20"/>
    </w:rPr>
  </w:style>
  <w:style w:type="paragraph" w:styleId="BodyTextIndent2">
    <w:name w:val="Body Text Indent 2"/>
    <w:basedOn w:val="Normal"/>
    <w:rsid w:val="004C7B20"/>
    <w:pPr>
      <w:ind w:left="284" w:hanging="284"/>
    </w:pPr>
    <w:rPr>
      <w:snapToGrid w:val="0"/>
      <w:lang w:eastAsia="en-US"/>
    </w:rPr>
  </w:style>
  <w:style w:type="paragraph" w:customStyle="1" w:styleId="Principle">
    <w:name w:val="Principle"/>
    <w:basedOn w:val="Heading2"/>
    <w:rsid w:val="004C7B20"/>
    <w:pPr>
      <w:spacing w:before="0" w:line="240" w:lineRule="atLeast"/>
      <w:ind w:left="720" w:hanging="720"/>
      <w:outlineLvl w:val="0"/>
    </w:pPr>
    <w:rPr>
      <w:rFonts w:ascii="Times New Roman" w:hAnsi="Times New Roman"/>
      <w:i/>
    </w:rPr>
  </w:style>
  <w:style w:type="paragraph" w:styleId="TOC2">
    <w:name w:val="toc 2"/>
    <w:basedOn w:val="Normal"/>
    <w:next w:val="Normal"/>
    <w:autoRedefine/>
    <w:semiHidden/>
    <w:rsid w:val="004C7B20"/>
    <w:pPr>
      <w:spacing w:before="240"/>
    </w:pPr>
    <w:rPr>
      <w:b/>
      <w:sz w:val="20"/>
    </w:rPr>
  </w:style>
  <w:style w:type="paragraph" w:styleId="TOC1">
    <w:name w:val="toc 1"/>
    <w:basedOn w:val="Normal"/>
    <w:next w:val="Normal"/>
    <w:autoRedefine/>
    <w:semiHidden/>
    <w:rsid w:val="004C7B20"/>
    <w:pPr>
      <w:tabs>
        <w:tab w:val="right" w:leader="dot" w:pos="8303"/>
      </w:tabs>
      <w:spacing w:before="360"/>
    </w:pPr>
    <w:rPr>
      <w:rFonts w:ascii="Arial" w:hAnsi="Arial"/>
      <w:b/>
      <w:noProof/>
    </w:rPr>
  </w:style>
  <w:style w:type="paragraph" w:styleId="TOC3">
    <w:name w:val="toc 3"/>
    <w:basedOn w:val="Normal"/>
    <w:next w:val="Normal"/>
    <w:autoRedefine/>
    <w:semiHidden/>
    <w:rsid w:val="004C7B20"/>
    <w:pPr>
      <w:ind w:left="240"/>
    </w:pPr>
    <w:rPr>
      <w:sz w:val="20"/>
    </w:rPr>
  </w:style>
  <w:style w:type="paragraph" w:styleId="TOC4">
    <w:name w:val="toc 4"/>
    <w:basedOn w:val="Normal"/>
    <w:next w:val="Normal"/>
    <w:autoRedefine/>
    <w:semiHidden/>
    <w:rsid w:val="004C7B20"/>
    <w:pPr>
      <w:ind w:left="480"/>
    </w:pPr>
    <w:rPr>
      <w:sz w:val="20"/>
    </w:rPr>
  </w:style>
  <w:style w:type="paragraph" w:styleId="TOC5">
    <w:name w:val="toc 5"/>
    <w:basedOn w:val="Normal"/>
    <w:next w:val="Normal"/>
    <w:autoRedefine/>
    <w:semiHidden/>
    <w:rsid w:val="004C7B20"/>
    <w:pPr>
      <w:ind w:left="720"/>
    </w:pPr>
    <w:rPr>
      <w:sz w:val="20"/>
    </w:rPr>
  </w:style>
  <w:style w:type="paragraph" w:styleId="TOC6">
    <w:name w:val="toc 6"/>
    <w:basedOn w:val="Normal"/>
    <w:next w:val="Normal"/>
    <w:autoRedefine/>
    <w:semiHidden/>
    <w:rsid w:val="004C7B20"/>
    <w:pPr>
      <w:ind w:left="960"/>
    </w:pPr>
    <w:rPr>
      <w:sz w:val="20"/>
    </w:rPr>
  </w:style>
  <w:style w:type="paragraph" w:styleId="TOC7">
    <w:name w:val="toc 7"/>
    <w:basedOn w:val="Normal"/>
    <w:next w:val="Normal"/>
    <w:autoRedefine/>
    <w:semiHidden/>
    <w:rsid w:val="004C7B20"/>
    <w:pPr>
      <w:ind w:left="1200"/>
    </w:pPr>
    <w:rPr>
      <w:sz w:val="20"/>
    </w:rPr>
  </w:style>
  <w:style w:type="paragraph" w:styleId="TOC8">
    <w:name w:val="toc 8"/>
    <w:basedOn w:val="Normal"/>
    <w:next w:val="Normal"/>
    <w:autoRedefine/>
    <w:semiHidden/>
    <w:rsid w:val="004C7B20"/>
    <w:pPr>
      <w:ind w:left="1440"/>
    </w:pPr>
    <w:rPr>
      <w:sz w:val="20"/>
    </w:rPr>
  </w:style>
  <w:style w:type="paragraph" w:styleId="TOC9">
    <w:name w:val="toc 9"/>
    <w:basedOn w:val="Normal"/>
    <w:next w:val="Normal"/>
    <w:autoRedefine/>
    <w:semiHidden/>
    <w:rsid w:val="004C7B20"/>
    <w:pPr>
      <w:ind w:left="1680"/>
    </w:pPr>
    <w:rPr>
      <w:sz w:val="20"/>
    </w:rPr>
  </w:style>
  <w:style w:type="paragraph" w:styleId="BodyTextIndent3">
    <w:name w:val="Body Text Indent 3"/>
    <w:basedOn w:val="Normal"/>
    <w:rsid w:val="004C7B20"/>
    <w:pPr>
      <w:ind w:left="567"/>
    </w:pPr>
    <w:rPr>
      <w:snapToGrid w:val="0"/>
      <w:lang w:eastAsia="en-US"/>
    </w:rPr>
  </w:style>
  <w:style w:type="paragraph" w:styleId="BodyText3">
    <w:name w:val="Body Text 3"/>
    <w:basedOn w:val="Normal"/>
    <w:rsid w:val="004C7B20"/>
    <w:pPr>
      <w:jc w:val="both"/>
    </w:pPr>
  </w:style>
  <w:style w:type="paragraph" w:styleId="BlockText">
    <w:name w:val="Block Text"/>
    <w:basedOn w:val="Normal"/>
    <w:rsid w:val="004C7B20"/>
    <w:pPr>
      <w:spacing w:before="40"/>
      <w:ind w:left="142" w:right="284"/>
      <w:jc w:val="both"/>
    </w:pPr>
    <w:rPr>
      <w:i/>
      <w:sz w:val="18"/>
    </w:rPr>
  </w:style>
  <w:style w:type="character" w:styleId="FollowedHyperlink">
    <w:name w:val="FollowedHyperlink"/>
    <w:basedOn w:val="DefaultParagraphFont"/>
    <w:rsid w:val="004C7B20"/>
    <w:rPr>
      <w:color w:val="800080"/>
      <w:u w:val="single"/>
    </w:rPr>
  </w:style>
  <w:style w:type="paragraph" w:customStyle="1" w:styleId="spacer">
    <w:name w:val="spacer"/>
    <w:basedOn w:val="Normal"/>
    <w:rsid w:val="004C7B20"/>
    <w:rPr>
      <w:rFonts w:ascii="Arial" w:hAnsi="Arial"/>
      <w:sz w:val="16"/>
    </w:rPr>
  </w:style>
  <w:style w:type="table" w:styleId="TableGrid">
    <w:name w:val="Table Grid"/>
    <w:basedOn w:val="TableNormal"/>
    <w:rsid w:val="00E7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73A9F"/>
    <w:rPr>
      <w:b/>
      <w:bCs/>
    </w:rPr>
  </w:style>
  <w:style w:type="character" w:styleId="Emphasis">
    <w:name w:val="Emphasis"/>
    <w:basedOn w:val="DefaultParagraphFont"/>
    <w:qFormat/>
    <w:rsid w:val="00E73A9F"/>
    <w:rPr>
      <w:i/>
      <w:iCs/>
    </w:rPr>
  </w:style>
  <w:style w:type="paragraph" w:styleId="BalloonText">
    <w:name w:val="Balloon Text"/>
    <w:basedOn w:val="Normal"/>
    <w:link w:val="BalloonTextChar"/>
    <w:rsid w:val="00F5793E"/>
    <w:rPr>
      <w:rFonts w:ascii="Tahoma" w:hAnsi="Tahoma" w:cs="Tahoma"/>
      <w:sz w:val="16"/>
      <w:szCs w:val="16"/>
    </w:rPr>
  </w:style>
  <w:style w:type="character" w:customStyle="1" w:styleId="BalloonTextChar">
    <w:name w:val="Balloon Text Char"/>
    <w:basedOn w:val="DefaultParagraphFont"/>
    <w:link w:val="BalloonText"/>
    <w:rsid w:val="00F579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078891">
      <w:bodyDiv w:val="1"/>
      <w:marLeft w:val="0"/>
      <w:marRight w:val="0"/>
      <w:marTop w:val="0"/>
      <w:marBottom w:val="0"/>
      <w:divBdr>
        <w:top w:val="none" w:sz="0" w:space="0" w:color="auto"/>
        <w:left w:val="none" w:sz="0" w:space="0" w:color="auto"/>
        <w:bottom w:val="none" w:sz="0" w:space="0" w:color="auto"/>
        <w:right w:val="none" w:sz="0" w:space="0" w:color="auto"/>
      </w:divBdr>
    </w:div>
    <w:div w:id="781345093">
      <w:bodyDiv w:val="1"/>
      <w:marLeft w:val="0"/>
      <w:marRight w:val="0"/>
      <w:marTop w:val="0"/>
      <w:marBottom w:val="0"/>
      <w:divBdr>
        <w:top w:val="none" w:sz="0" w:space="0" w:color="auto"/>
        <w:left w:val="none" w:sz="0" w:space="0" w:color="auto"/>
        <w:bottom w:val="none" w:sz="0" w:space="0" w:color="auto"/>
        <w:right w:val="none" w:sz="0" w:space="0" w:color="auto"/>
      </w:divBdr>
    </w:div>
    <w:div w:id="1021664948">
      <w:bodyDiv w:val="1"/>
      <w:marLeft w:val="0"/>
      <w:marRight w:val="0"/>
      <w:marTop w:val="0"/>
      <w:marBottom w:val="0"/>
      <w:divBdr>
        <w:top w:val="none" w:sz="0" w:space="0" w:color="auto"/>
        <w:left w:val="none" w:sz="0" w:space="0" w:color="auto"/>
        <w:bottom w:val="none" w:sz="0" w:space="0" w:color="auto"/>
        <w:right w:val="none" w:sz="0" w:space="0" w:color="auto"/>
      </w:divBdr>
    </w:div>
    <w:div w:id="1147164413">
      <w:bodyDiv w:val="1"/>
      <w:marLeft w:val="0"/>
      <w:marRight w:val="0"/>
      <w:marTop w:val="0"/>
      <w:marBottom w:val="0"/>
      <w:divBdr>
        <w:top w:val="none" w:sz="0" w:space="0" w:color="auto"/>
        <w:left w:val="none" w:sz="0" w:space="0" w:color="auto"/>
        <w:bottom w:val="none" w:sz="0" w:space="0" w:color="auto"/>
        <w:right w:val="none" w:sz="0" w:space="0" w:color="auto"/>
      </w:divBdr>
    </w:div>
    <w:div w:id="1245842783">
      <w:bodyDiv w:val="1"/>
      <w:marLeft w:val="0"/>
      <w:marRight w:val="0"/>
      <w:marTop w:val="0"/>
      <w:marBottom w:val="0"/>
      <w:divBdr>
        <w:top w:val="none" w:sz="0" w:space="0" w:color="auto"/>
        <w:left w:val="none" w:sz="0" w:space="0" w:color="auto"/>
        <w:bottom w:val="none" w:sz="0" w:space="0" w:color="auto"/>
        <w:right w:val="none" w:sz="0" w:space="0" w:color="auto"/>
      </w:divBdr>
    </w:div>
    <w:div w:id="15690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D\NVCPS\Deci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Decisionreport.dot</Template>
  <TotalTime>171</TotalTime>
  <Pages>10</Pages>
  <Words>6679</Words>
  <Characters>38554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Proforma Reports for Applications to Clear Native Vegetation under the Environmental Protection Act</vt:lpstr>
    </vt:vector>
  </TitlesOfParts>
  <Company>Water and Rivers Commission</Company>
  <LinksUpToDate>false</LinksUpToDate>
  <CharactersWithSpaces>45143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Reports for Applications to Clear Native Vegetation under the Environmental Protection Act</dc:title>
  <dc:subject/>
  <dc:creator>O'DONOGHUE, Grant</dc:creator>
  <cp:keywords/>
  <cp:lastModifiedBy>O'DONOGHUE, Grant</cp:lastModifiedBy>
  <cp:revision>22</cp:revision>
  <cp:lastPrinted>2010-04-13T04:29:00Z</cp:lastPrinted>
  <dcterms:created xsi:type="dcterms:W3CDTF">2010-03-25T03:35:00Z</dcterms:created>
  <dcterms:modified xsi:type="dcterms:W3CDTF">2010-04-13T08:18:00Z</dcterms:modified>
</cp:coreProperties>
</file>